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149E98" w14:textId="77777777" w:rsidR="00580D1C" w:rsidRPr="00D555B1" w:rsidRDefault="00580D1C" w:rsidP="00580D1C">
      <w:pPr>
        <w:jc w:val="center"/>
        <w:rPr>
          <w:b/>
        </w:rPr>
      </w:pPr>
      <w:r w:rsidRPr="00D555B1">
        <w:rPr>
          <w:b/>
        </w:rPr>
        <w:t>SOAH DOCKET NO. 473-19-4420</w:t>
      </w:r>
    </w:p>
    <w:p w14:paraId="5B150495" w14:textId="77777777" w:rsidR="00580D1C" w:rsidRPr="00D555B1" w:rsidRDefault="00580D1C" w:rsidP="00580D1C">
      <w:pPr>
        <w:jc w:val="center"/>
        <w:rPr>
          <w:b/>
        </w:rPr>
      </w:pPr>
      <w:r w:rsidRPr="00D555B1">
        <w:rPr>
          <w:b/>
        </w:rPr>
        <w:t>PUC DOCKET NO. 49493</w:t>
      </w:r>
    </w:p>
    <w:p w14:paraId="505DC063" w14:textId="77777777" w:rsidR="00580D1C" w:rsidRPr="00D555B1" w:rsidRDefault="00580D1C" w:rsidP="00580D1C">
      <w:pPr>
        <w:jc w:val="center"/>
        <w:rPr>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1"/>
        <w:gridCol w:w="336"/>
        <w:gridCol w:w="4203"/>
      </w:tblGrid>
      <w:tr w:rsidR="00580D1C" w:rsidRPr="00D555B1" w14:paraId="0A3FF3CA" w14:textId="77777777" w:rsidTr="0075699A">
        <w:trPr>
          <w:trHeight w:val="972"/>
        </w:trPr>
        <w:tc>
          <w:tcPr>
            <w:tcW w:w="4855" w:type="dxa"/>
          </w:tcPr>
          <w:p w14:paraId="37AA8443" w14:textId="77777777" w:rsidR="00580D1C" w:rsidRPr="00D555B1" w:rsidRDefault="00580D1C" w:rsidP="0075699A">
            <w:pPr>
              <w:rPr>
                <w:b/>
              </w:rPr>
            </w:pPr>
            <w:r w:rsidRPr="00D555B1">
              <w:rPr>
                <w:b/>
              </w:rPr>
              <w:t>APPLICATION OF ENTERGY TEXAS, INC. TO ADJUST ITS ENERGY EFFICIENCY COST RECOVERY FACTOR</w:t>
            </w:r>
          </w:p>
        </w:tc>
        <w:tc>
          <w:tcPr>
            <w:tcW w:w="270" w:type="dxa"/>
          </w:tcPr>
          <w:p w14:paraId="23A0C034" w14:textId="77777777" w:rsidR="00580D1C" w:rsidRPr="00D555B1" w:rsidRDefault="00580D1C" w:rsidP="0075699A">
            <w:pPr>
              <w:jc w:val="center"/>
              <w:rPr>
                <w:b/>
              </w:rPr>
            </w:pPr>
            <w:r w:rsidRPr="00D555B1">
              <w:rPr>
                <w:b/>
              </w:rPr>
              <w:t>§</w:t>
            </w:r>
          </w:p>
          <w:p w14:paraId="68FA57C4" w14:textId="77777777" w:rsidR="00580D1C" w:rsidRPr="00D555B1" w:rsidRDefault="00580D1C" w:rsidP="0075699A">
            <w:pPr>
              <w:jc w:val="center"/>
              <w:rPr>
                <w:b/>
              </w:rPr>
            </w:pPr>
            <w:r w:rsidRPr="00D555B1">
              <w:rPr>
                <w:b/>
              </w:rPr>
              <w:t>§</w:t>
            </w:r>
          </w:p>
          <w:p w14:paraId="6705E1FA" w14:textId="77777777" w:rsidR="00580D1C" w:rsidRPr="00D555B1" w:rsidRDefault="00580D1C" w:rsidP="0075699A">
            <w:pPr>
              <w:jc w:val="center"/>
              <w:rPr>
                <w:b/>
              </w:rPr>
            </w:pPr>
            <w:r w:rsidRPr="00D555B1">
              <w:rPr>
                <w:b/>
              </w:rPr>
              <w:t>§</w:t>
            </w:r>
          </w:p>
          <w:p w14:paraId="67BB239C" w14:textId="77777777" w:rsidR="00580D1C" w:rsidRPr="00D555B1" w:rsidRDefault="00580D1C" w:rsidP="0075699A">
            <w:pPr>
              <w:jc w:val="center"/>
              <w:rPr>
                <w:b/>
              </w:rPr>
            </w:pPr>
            <w:r w:rsidRPr="00D555B1">
              <w:rPr>
                <w:b/>
              </w:rPr>
              <w:t>§</w:t>
            </w:r>
          </w:p>
        </w:tc>
        <w:tc>
          <w:tcPr>
            <w:tcW w:w="4225" w:type="dxa"/>
          </w:tcPr>
          <w:p w14:paraId="1152182D" w14:textId="77777777" w:rsidR="00580D1C" w:rsidRPr="00D555B1" w:rsidRDefault="00580D1C" w:rsidP="0075699A">
            <w:pPr>
              <w:jc w:val="center"/>
              <w:rPr>
                <w:b/>
              </w:rPr>
            </w:pPr>
            <w:r w:rsidRPr="00D555B1">
              <w:rPr>
                <w:b/>
              </w:rPr>
              <w:t>BEFORE THE STATE OFFICE</w:t>
            </w:r>
          </w:p>
          <w:p w14:paraId="15763D88" w14:textId="77777777" w:rsidR="00580D1C" w:rsidRPr="00D555B1" w:rsidRDefault="00580D1C" w:rsidP="0075699A">
            <w:pPr>
              <w:jc w:val="center"/>
              <w:rPr>
                <w:b/>
              </w:rPr>
            </w:pPr>
            <w:r w:rsidRPr="00D555B1">
              <w:rPr>
                <w:b/>
              </w:rPr>
              <w:t>OF</w:t>
            </w:r>
          </w:p>
          <w:p w14:paraId="7423534F" w14:textId="77777777" w:rsidR="00580D1C" w:rsidRPr="00D555B1" w:rsidRDefault="00580D1C" w:rsidP="0075699A">
            <w:pPr>
              <w:jc w:val="center"/>
              <w:rPr>
                <w:b/>
              </w:rPr>
            </w:pPr>
            <w:r w:rsidRPr="00D555B1">
              <w:rPr>
                <w:b/>
              </w:rPr>
              <w:t>ADMINISTRATIVE HEARINGS</w:t>
            </w:r>
          </w:p>
        </w:tc>
      </w:tr>
    </w:tbl>
    <w:p w14:paraId="0030AA03" w14:textId="2F145478" w:rsidR="007572FC" w:rsidRDefault="00C54659" w:rsidP="00C54659">
      <w:pPr>
        <w:pStyle w:val="Titleoforder"/>
      </w:pPr>
      <w:r>
        <w:t>ORDER</w:t>
      </w:r>
    </w:p>
    <w:p w14:paraId="65F6F78D" w14:textId="1A8FCC63" w:rsidR="00266F9F" w:rsidRDefault="00B2385E" w:rsidP="00266F9F">
      <w:pPr>
        <w:pStyle w:val="BodyText"/>
      </w:pPr>
      <w:r>
        <w:rPr>
          <w:rFonts w:eastAsia="Times New Roman"/>
          <w:color w:val="000000"/>
        </w:rPr>
        <w:t xml:space="preserve">This Order addresses the application of Entergy Texas, Inc. (ETI) </w:t>
      </w:r>
      <w:r w:rsidR="00DF089A">
        <w:rPr>
          <w:rFonts w:eastAsia="Times New Roman"/>
          <w:color w:val="000000"/>
        </w:rPr>
        <w:t>to adjust its energy efficiency cost recovery factor</w:t>
      </w:r>
      <w:r w:rsidR="009466D3">
        <w:rPr>
          <w:rFonts w:eastAsia="Times New Roman"/>
          <w:color w:val="000000"/>
        </w:rPr>
        <w:t xml:space="preserve"> (EECRF).  </w:t>
      </w:r>
      <w:r>
        <w:rPr>
          <w:rFonts w:eastAsia="Times New Roman"/>
          <w:color w:val="000000"/>
        </w:rPr>
        <w:t>A Stipulation and Settlement Agreement (</w:t>
      </w:r>
      <w:r w:rsidR="005906D7">
        <w:rPr>
          <w:rFonts w:eastAsia="Times New Roman"/>
          <w:color w:val="000000"/>
        </w:rPr>
        <w:t>A</w:t>
      </w:r>
      <w:r w:rsidR="00414C43">
        <w:rPr>
          <w:rFonts w:eastAsia="Times New Roman"/>
          <w:color w:val="000000"/>
        </w:rPr>
        <w:t>greement</w:t>
      </w:r>
      <w:r>
        <w:rPr>
          <w:rFonts w:eastAsia="Times New Roman"/>
          <w:color w:val="000000"/>
        </w:rPr>
        <w:t xml:space="preserve">) was executed that resolves </w:t>
      </w:r>
      <w:proofErr w:type="gramStart"/>
      <w:r>
        <w:rPr>
          <w:rFonts w:eastAsia="Times New Roman"/>
          <w:color w:val="000000"/>
        </w:rPr>
        <w:t>all of</w:t>
      </w:r>
      <w:proofErr w:type="gramEnd"/>
      <w:r>
        <w:rPr>
          <w:rFonts w:eastAsia="Times New Roman"/>
          <w:color w:val="000000"/>
        </w:rPr>
        <w:t xml:space="preserve"> the issues </w:t>
      </w:r>
      <w:r w:rsidR="00414C43">
        <w:rPr>
          <w:rFonts w:eastAsia="Times New Roman"/>
          <w:color w:val="000000"/>
        </w:rPr>
        <w:t xml:space="preserve">among the parties </w:t>
      </w:r>
      <w:r w:rsidR="00B66027">
        <w:rPr>
          <w:rFonts w:eastAsia="Times New Roman"/>
          <w:color w:val="000000"/>
        </w:rPr>
        <w:t>in</w:t>
      </w:r>
      <w:r w:rsidR="00414C43">
        <w:rPr>
          <w:rFonts w:eastAsia="Times New Roman"/>
          <w:color w:val="000000"/>
        </w:rPr>
        <w:t xml:space="preserve"> </w:t>
      </w:r>
      <w:r>
        <w:rPr>
          <w:rFonts w:eastAsia="Times New Roman"/>
          <w:color w:val="000000"/>
        </w:rPr>
        <w:t xml:space="preserve">this proceeding. Consistent with the </w:t>
      </w:r>
      <w:r w:rsidR="005D511B">
        <w:rPr>
          <w:rFonts w:eastAsia="Times New Roman"/>
          <w:color w:val="000000"/>
        </w:rPr>
        <w:t>A</w:t>
      </w:r>
      <w:r w:rsidR="00414C43">
        <w:rPr>
          <w:rFonts w:eastAsia="Times New Roman"/>
          <w:color w:val="000000"/>
        </w:rPr>
        <w:t>greement</w:t>
      </w:r>
      <w:r>
        <w:rPr>
          <w:rFonts w:eastAsia="Times New Roman"/>
          <w:color w:val="000000"/>
        </w:rPr>
        <w:t>, ETI’s application is approved</w:t>
      </w:r>
      <w:r w:rsidR="00677B5E">
        <w:t>.</w:t>
      </w:r>
    </w:p>
    <w:p w14:paraId="4E83BA7C" w14:textId="77777777" w:rsidR="008D1724" w:rsidRDefault="008D1724" w:rsidP="00EE5DDA">
      <w:pPr>
        <w:pStyle w:val="BodyText"/>
      </w:pPr>
      <w:r>
        <w:t>The Commission adopts the following findings of fact and conclusions of law</w:t>
      </w:r>
      <w:r w:rsidR="00B2385E">
        <w:t>:</w:t>
      </w:r>
    </w:p>
    <w:p w14:paraId="2E95FC3E" w14:textId="77777777" w:rsidR="008D1724" w:rsidRPr="008D1724" w:rsidRDefault="00EE5DDA" w:rsidP="008D1724">
      <w:pPr>
        <w:pStyle w:val="Heading1"/>
      </w:pPr>
      <w:r>
        <w:t>Findings of Fact</w:t>
      </w:r>
    </w:p>
    <w:p w14:paraId="4AFA9E28" w14:textId="3EE6D213" w:rsidR="00B2385E" w:rsidRPr="00414C43" w:rsidRDefault="00134CB8" w:rsidP="00414C43">
      <w:pPr>
        <w:pStyle w:val="Heading7"/>
      </w:pPr>
      <w:r>
        <w:t>Applicant</w:t>
      </w:r>
      <w:r>
        <w:rPr>
          <w:b w:val="0"/>
        </w:rPr>
        <w:t xml:space="preserve"> </w:t>
      </w:r>
      <w:r w:rsidRPr="00134CB8">
        <w:rPr>
          <w:b w:val="0"/>
        </w:rPr>
        <w:t xml:space="preserve">PURA </w:t>
      </w:r>
      <w:r w:rsidRPr="00134CB8">
        <w:rPr>
          <w:rFonts w:cs="Times New Roman"/>
          <w:b w:val="0"/>
        </w:rPr>
        <w:t>§</w:t>
      </w:r>
      <w:r w:rsidRPr="00134CB8">
        <w:rPr>
          <w:b w:val="0"/>
        </w:rPr>
        <w:t xml:space="preserve"> 31.002(6) and 16 TAC </w:t>
      </w:r>
      <w:r w:rsidRPr="00134CB8">
        <w:rPr>
          <w:rFonts w:cs="Times New Roman"/>
          <w:b w:val="0"/>
        </w:rPr>
        <w:t>§</w:t>
      </w:r>
      <w:r w:rsidRPr="00134CB8">
        <w:rPr>
          <w:b w:val="0"/>
        </w:rPr>
        <w:t xml:space="preserve"> 25.181(b)</w:t>
      </w:r>
    </w:p>
    <w:p w14:paraId="27C912F2" w14:textId="191984AC" w:rsidR="00134CB8" w:rsidRDefault="00134CB8" w:rsidP="00B2385E">
      <w:pPr>
        <w:pStyle w:val="FOFNumbered"/>
      </w:pPr>
      <w:r>
        <w:t>ETI is a Texas corporation and wholly owned subsidiary of Entergy Corporation, a Delaware corporation</w:t>
      </w:r>
      <w:r w:rsidR="006F3C1F">
        <w:t>.</w:t>
      </w:r>
    </w:p>
    <w:p w14:paraId="61985E61" w14:textId="560ED8E8" w:rsidR="00134CB8" w:rsidRDefault="00134CB8" w:rsidP="00B2385E">
      <w:pPr>
        <w:pStyle w:val="FOFNumbered"/>
      </w:pPr>
      <w:r>
        <w:t>ETI provides electric generation, transmission, and distribution services in Texas.</w:t>
      </w:r>
    </w:p>
    <w:p w14:paraId="12A423E9" w14:textId="2E683A44" w:rsidR="00134CB8" w:rsidRPr="006F3C1F" w:rsidRDefault="00134CB8" w:rsidP="00134CB8">
      <w:pPr>
        <w:pStyle w:val="FOFNumbered"/>
        <w:numPr>
          <w:ilvl w:val="0"/>
          <w:numId w:val="0"/>
        </w:numPr>
        <w:rPr>
          <w:i/>
          <w:u w:val="single"/>
        </w:rPr>
      </w:pPr>
      <w:r w:rsidRPr="006F3C1F">
        <w:rPr>
          <w:b/>
          <w:i/>
          <w:u w:val="single"/>
        </w:rPr>
        <w:t>Application</w:t>
      </w:r>
      <w:r w:rsidRPr="006F3C1F">
        <w:rPr>
          <w:i/>
          <w:u w:val="single"/>
        </w:rPr>
        <w:t xml:space="preserve"> 16 TAC </w:t>
      </w:r>
      <w:r w:rsidRPr="006F3C1F">
        <w:rPr>
          <w:i/>
          <w:szCs w:val="24"/>
          <w:u w:val="single"/>
        </w:rPr>
        <w:t>§§</w:t>
      </w:r>
      <w:r w:rsidRPr="006F3C1F">
        <w:rPr>
          <w:b/>
          <w:i/>
          <w:szCs w:val="24"/>
          <w:u w:val="single"/>
        </w:rPr>
        <w:t xml:space="preserve"> </w:t>
      </w:r>
      <w:r w:rsidRPr="006F3C1F">
        <w:rPr>
          <w:i/>
          <w:szCs w:val="24"/>
          <w:u w:val="single"/>
        </w:rPr>
        <w:t>25.18</w:t>
      </w:r>
      <w:r w:rsidR="006F3C1F">
        <w:rPr>
          <w:i/>
          <w:szCs w:val="24"/>
          <w:u w:val="single"/>
        </w:rPr>
        <w:t>2</w:t>
      </w:r>
      <w:r w:rsidRPr="006F3C1F">
        <w:rPr>
          <w:i/>
          <w:szCs w:val="24"/>
          <w:u w:val="single"/>
        </w:rPr>
        <w:t>(</w:t>
      </w:r>
      <w:r w:rsidR="006F3C1F">
        <w:rPr>
          <w:i/>
          <w:szCs w:val="24"/>
          <w:u w:val="single"/>
        </w:rPr>
        <w:t>d</w:t>
      </w:r>
      <w:r w:rsidRPr="006F3C1F">
        <w:rPr>
          <w:i/>
          <w:szCs w:val="24"/>
          <w:u w:val="single"/>
        </w:rPr>
        <w:t>)(8)</w:t>
      </w:r>
      <w:r w:rsidR="006F3C1F" w:rsidRPr="006F3C1F">
        <w:rPr>
          <w:i/>
          <w:szCs w:val="24"/>
          <w:u w:val="single"/>
        </w:rPr>
        <w:t>, (</w:t>
      </w:r>
      <w:r w:rsidR="006F3C1F">
        <w:rPr>
          <w:i/>
          <w:szCs w:val="24"/>
          <w:u w:val="single"/>
        </w:rPr>
        <w:t>d</w:t>
      </w:r>
      <w:r w:rsidR="006F3C1F" w:rsidRPr="006F3C1F">
        <w:rPr>
          <w:i/>
          <w:szCs w:val="24"/>
          <w:u w:val="single"/>
        </w:rPr>
        <w:t>)(10)(</w:t>
      </w:r>
      <w:proofErr w:type="gramStart"/>
      <w:r w:rsidR="006F3C1F" w:rsidRPr="006F3C1F">
        <w:rPr>
          <w:i/>
          <w:szCs w:val="24"/>
          <w:u w:val="single"/>
        </w:rPr>
        <w:t>A)-(</w:t>
      </w:r>
      <w:proofErr w:type="gramEnd"/>
      <w:r w:rsidR="006F3C1F" w:rsidRPr="006F3C1F">
        <w:rPr>
          <w:i/>
          <w:szCs w:val="24"/>
          <w:u w:val="single"/>
        </w:rPr>
        <w:t>M), and (</w:t>
      </w:r>
      <w:r w:rsidR="006F3C1F">
        <w:rPr>
          <w:i/>
          <w:szCs w:val="24"/>
          <w:u w:val="single"/>
        </w:rPr>
        <w:t>d</w:t>
      </w:r>
      <w:r w:rsidR="006F3C1F" w:rsidRPr="006F3C1F">
        <w:rPr>
          <w:i/>
          <w:szCs w:val="24"/>
          <w:u w:val="single"/>
        </w:rPr>
        <w:t>)(11)(A)-(J)</w:t>
      </w:r>
    </w:p>
    <w:p w14:paraId="42E37080" w14:textId="77777777" w:rsidR="006509AF" w:rsidRDefault="00B2385E" w:rsidP="006509AF">
      <w:pPr>
        <w:pStyle w:val="FOFNumbered"/>
      </w:pPr>
      <w:r w:rsidRPr="00F9341A">
        <w:t xml:space="preserve">On </w:t>
      </w:r>
      <w:r w:rsidR="00144332">
        <w:t>May 1, 201</w:t>
      </w:r>
      <w:r w:rsidR="00A47FD1">
        <w:t>9</w:t>
      </w:r>
      <w:r w:rsidRPr="00F9341A">
        <w:t>, ETI filed an app</w:t>
      </w:r>
      <w:r w:rsidR="009D4EA5">
        <w:t xml:space="preserve">lication to adjust </w:t>
      </w:r>
      <w:r w:rsidRPr="00F9341A">
        <w:t>its EECRF beginning with</w:t>
      </w:r>
      <w:r>
        <w:t xml:space="preserve"> the first billing cycle of ETI’</w:t>
      </w:r>
      <w:r w:rsidRPr="00F9341A">
        <w:t>s January 20</w:t>
      </w:r>
      <w:r w:rsidR="00A47FD1">
        <w:t>20</w:t>
      </w:r>
      <w:r w:rsidRPr="00F9341A">
        <w:t xml:space="preserve"> billing month.</w:t>
      </w:r>
    </w:p>
    <w:p w14:paraId="193B09B2" w14:textId="55FD3B58" w:rsidR="006509AF" w:rsidRDefault="00183D50" w:rsidP="006509AF">
      <w:pPr>
        <w:pStyle w:val="FOFNumbered"/>
      </w:pPr>
      <w:r>
        <w:t xml:space="preserve">ETI initially sought </w:t>
      </w:r>
      <w:r w:rsidR="006509AF">
        <w:t xml:space="preserve">Commission approval to adjust its EECRF to recover </w:t>
      </w:r>
      <w:r w:rsidR="006509AF" w:rsidRPr="002A2027">
        <w:t>$</w:t>
      </w:r>
      <w:r w:rsidR="006509AF">
        <w:t>8,010,790</w:t>
      </w:r>
      <w:r w:rsidR="006509AF">
        <w:rPr>
          <w:rStyle w:val="FootnoteReference"/>
        </w:rPr>
        <w:footnoteReference w:id="1"/>
      </w:r>
      <w:r w:rsidR="006509AF">
        <w:t xml:space="preserve"> during program year </w:t>
      </w:r>
      <w:r w:rsidR="00F8492D">
        <w:t>2020</w:t>
      </w:r>
      <w:r w:rsidR="006509AF">
        <w:t>, which included:</w:t>
      </w:r>
    </w:p>
    <w:p w14:paraId="04DFD4F2" w14:textId="6EDA71E9" w:rsidR="006509AF" w:rsidRDefault="006509AF" w:rsidP="006509AF">
      <w:pPr>
        <w:pStyle w:val="ListParagraph"/>
        <w:numPr>
          <w:ilvl w:val="0"/>
          <w:numId w:val="9"/>
        </w:numPr>
      </w:pPr>
      <w:r>
        <w:t>Forecasted energy</w:t>
      </w:r>
      <w:r w:rsidR="00A018F4">
        <w:t xml:space="preserve"> </w:t>
      </w:r>
      <w:r>
        <w:t xml:space="preserve">efficiency costs in program year </w:t>
      </w:r>
      <w:r w:rsidR="00F8492D">
        <w:t>2020</w:t>
      </w:r>
      <w:r>
        <w:t xml:space="preserve"> of $7,508,671</w:t>
      </w:r>
      <w:r w:rsidR="009D39D7">
        <w:t>;</w:t>
      </w:r>
    </w:p>
    <w:p w14:paraId="280740B7" w14:textId="1BE065A8" w:rsidR="006509AF" w:rsidRDefault="006509AF" w:rsidP="006509AF">
      <w:pPr>
        <w:pStyle w:val="ListParagraph"/>
        <w:numPr>
          <w:ilvl w:val="0"/>
          <w:numId w:val="9"/>
        </w:numPr>
      </w:pPr>
      <w:r>
        <w:t>Projected evaluation, measurement, and verification (EM&amp;V) expenses in the amount of $106,180</w:t>
      </w:r>
      <w:r w:rsidRPr="00F76CEA">
        <w:t xml:space="preserve"> </w:t>
      </w:r>
      <w:r w:rsidR="009D39D7">
        <w:t>to be collected in 2020;</w:t>
      </w:r>
    </w:p>
    <w:p w14:paraId="3C2AFA37" w14:textId="12EAB38A" w:rsidR="006509AF" w:rsidRDefault="006509AF" w:rsidP="006509AF">
      <w:pPr>
        <w:pStyle w:val="ListParagraph"/>
        <w:numPr>
          <w:ilvl w:val="0"/>
          <w:numId w:val="9"/>
        </w:numPr>
      </w:pPr>
      <w:r>
        <w:t>A performance bonus of $1,673,201</w:t>
      </w:r>
      <w:r w:rsidRPr="00F76CEA">
        <w:t xml:space="preserve"> </w:t>
      </w:r>
      <w:r>
        <w:t>associated with the results</w:t>
      </w:r>
      <w:r w:rsidRPr="00F76CEA">
        <w:t xml:space="preserve"> of ETI’s 2018 energy</w:t>
      </w:r>
      <w:r w:rsidR="00A018F4">
        <w:t xml:space="preserve"> </w:t>
      </w:r>
      <w:r w:rsidRPr="00F76CEA">
        <w:t xml:space="preserve">efficiency programs; </w:t>
      </w:r>
    </w:p>
    <w:p w14:paraId="48DF07B7" w14:textId="77777777" w:rsidR="006509AF" w:rsidRDefault="006509AF" w:rsidP="006509AF">
      <w:pPr>
        <w:pStyle w:val="ListParagraph"/>
        <w:numPr>
          <w:ilvl w:val="0"/>
          <w:numId w:val="9"/>
        </w:numPr>
      </w:pPr>
      <w:r>
        <w:lastRenderedPageBreak/>
        <w:t xml:space="preserve">An over-recovery of </w:t>
      </w:r>
      <w:r w:rsidRPr="00F76CEA">
        <w:t>$</w:t>
      </w:r>
      <w:r>
        <w:t>1,386,600</w:t>
      </w:r>
      <w:r w:rsidRPr="00F76CEA">
        <w:t xml:space="preserve"> </w:t>
      </w:r>
      <w:r>
        <w:t>for program year 2018; and</w:t>
      </w:r>
    </w:p>
    <w:p w14:paraId="5A00E7BF" w14:textId="0AA8A4FE" w:rsidR="006509AF" w:rsidRPr="00B66B4E" w:rsidRDefault="00F8492D" w:rsidP="006509AF">
      <w:pPr>
        <w:pStyle w:val="ListParagraph"/>
        <w:numPr>
          <w:ilvl w:val="0"/>
          <w:numId w:val="9"/>
        </w:numPr>
      </w:pPr>
      <w:r>
        <w:t>EECRF p</w:t>
      </w:r>
      <w:r w:rsidR="006509AF">
        <w:t xml:space="preserve">roceeding costs of $109,336 (including </w:t>
      </w:r>
      <w:r w:rsidR="006509AF" w:rsidRPr="0059063D">
        <w:t>$</w:t>
      </w:r>
      <w:r w:rsidR="006509AF">
        <w:t>98,064</w:t>
      </w:r>
      <w:r w:rsidR="006509AF" w:rsidRPr="0059063D">
        <w:t xml:space="preserve"> for ETI’s </w:t>
      </w:r>
      <w:r w:rsidR="006509AF">
        <w:t xml:space="preserve">expenses and </w:t>
      </w:r>
      <w:r w:rsidR="006509AF" w:rsidRPr="0059063D">
        <w:t>$</w:t>
      </w:r>
      <w:r w:rsidR="006509AF">
        <w:t>11,273</w:t>
      </w:r>
      <w:r w:rsidR="006509AF" w:rsidRPr="0059063D">
        <w:t xml:space="preserve"> for Cities’</w:t>
      </w:r>
      <w:r w:rsidR="006509AF">
        <w:t xml:space="preserve"> expenses</w:t>
      </w:r>
      <w:r w:rsidR="006509AF" w:rsidRPr="0059063D">
        <w:t>).</w:t>
      </w:r>
    </w:p>
    <w:p w14:paraId="6018CFF0" w14:textId="64A3D527" w:rsidR="00183D50" w:rsidRDefault="006509AF" w:rsidP="00B2385E">
      <w:pPr>
        <w:pStyle w:val="FOFNumbered"/>
      </w:pPr>
      <w:r>
        <w:t>In support of the application, ETI presented testimony, exhibits, schedules, and workpapers demonstrating that the costs to be recovered through its 2020 EECRF were $8,010,790.</w:t>
      </w:r>
    </w:p>
    <w:p w14:paraId="39C497F2" w14:textId="77777777" w:rsidR="008145EA" w:rsidRDefault="006509AF" w:rsidP="00B2385E">
      <w:pPr>
        <w:pStyle w:val="FOFNumbered"/>
      </w:pPr>
      <w:r>
        <w:t>In St</w:t>
      </w:r>
      <w:r w:rsidR="00B2385E" w:rsidRPr="00F9341A">
        <w:t>ate Office of Administrative Hearings (SOAH)</w:t>
      </w:r>
      <w:r>
        <w:t xml:space="preserve"> Order No. 2 issued on June 7, 2019</w:t>
      </w:r>
      <w:r w:rsidR="008145EA">
        <w:t xml:space="preserve">, the SOAH administrative law judge (ALJ) found the application </w:t>
      </w:r>
      <w:proofErr w:type="gramStart"/>
      <w:r w:rsidR="008145EA">
        <w:t>sufficient</w:t>
      </w:r>
      <w:proofErr w:type="gramEnd"/>
      <w:r w:rsidR="008145EA">
        <w:t>.</w:t>
      </w:r>
    </w:p>
    <w:p w14:paraId="2E66E2F1" w14:textId="50F66FA7" w:rsidR="00121370" w:rsidRPr="00827CDE" w:rsidRDefault="00121370" w:rsidP="00121370">
      <w:pPr>
        <w:pStyle w:val="FOFNumbered"/>
      </w:pPr>
      <w:r w:rsidRPr="00827CDE">
        <w:t xml:space="preserve">On </w:t>
      </w:r>
      <w:r>
        <w:t>May 16, 2019,</w:t>
      </w:r>
      <w:r w:rsidRPr="00827CDE">
        <w:t xml:space="preserve"> ETI filed </w:t>
      </w:r>
      <w:r>
        <w:t>Errata No.1, correcting</w:t>
      </w:r>
      <w:r w:rsidRPr="00827CDE">
        <w:t xml:space="preserve"> </w:t>
      </w:r>
      <w:r>
        <w:t xml:space="preserve">the 2018 demand and energy savings and the Company’s performance bonus.  </w:t>
      </w:r>
      <w:r w:rsidR="001938D4">
        <w:t>This resulted in an increase to the Company’s 2018 performance bonus to $1,673,206.</w:t>
      </w:r>
    </w:p>
    <w:p w14:paraId="3C1D0E18" w14:textId="02CE5847" w:rsidR="00121370" w:rsidRDefault="00121370" w:rsidP="00121370">
      <w:pPr>
        <w:pStyle w:val="FOFNumbered"/>
      </w:pPr>
      <w:r>
        <w:t xml:space="preserve">On July 19, 2019, ETI filed Errata No. 2, correcting the amount and allocation of the EM&amp;V costs to reflect actual charges per program and reflecting the resulting impacts on the over-recovery amounts, bonus calculation, and rates.  </w:t>
      </w:r>
    </w:p>
    <w:p w14:paraId="6D4B236D" w14:textId="2C8F5F1B" w:rsidR="00121370" w:rsidRDefault="00121370" w:rsidP="00121370">
      <w:pPr>
        <w:pStyle w:val="FOFNumbered"/>
      </w:pPr>
      <w:r>
        <w:t>Under the amended application, ETI’s EECRF would recover $8,010,785</w:t>
      </w:r>
      <w:r w:rsidR="004F3ED4">
        <w:rPr>
          <w:rStyle w:val="FootnoteReference"/>
        </w:rPr>
        <w:footnoteReference w:id="2"/>
      </w:r>
      <w:r>
        <w:t xml:space="preserve"> during program year 2020, which includes: </w:t>
      </w:r>
    </w:p>
    <w:p w14:paraId="2F8BDD33" w14:textId="411D5184" w:rsidR="00121370" w:rsidRDefault="00121370" w:rsidP="00121370">
      <w:pPr>
        <w:pStyle w:val="FOFNumbered"/>
        <w:numPr>
          <w:ilvl w:val="0"/>
          <w:numId w:val="11"/>
        </w:numPr>
      </w:pPr>
      <w:r>
        <w:t>Forecasted energy</w:t>
      </w:r>
      <w:r w:rsidR="00A018F4">
        <w:t xml:space="preserve"> </w:t>
      </w:r>
      <w:r>
        <w:t xml:space="preserve">efficiency costs in program year </w:t>
      </w:r>
      <w:r w:rsidR="00F4058C">
        <w:t>2020</w:t>
      </w:r>
      <w:r>
        <w:t xml:space="preserve"> of $7,508,671</w:t>
      </w:r>
      <w:r w:rsidR="00E653D5">
        <w:t>;</w:t>
      </w:r>
    </w:p>
    <w:p w14:paraId="22515B89" w14:textId="1C91028A" w:rsidR="00121370" w:rsidRDefault="00121370" w:rsidP="00121370">
      <w:pPr>
        <w:pStyle w:val="FOFNumbered"/>
        <w:numPr>
          <w:ilvl w:val="0"/>
          <w:numId w:val="11"/>
        </w:numPr>
      </w:pPr>
      <w:r>
        <w:t>EM&amp;V expenses in the amount of $106,180</w:t>
      </w:r>
      <w:r w:rsidR="009D39D7">
        <w:t xml:space="preserve"> to be collected in 2020</w:t>
      </w:r>
      <w:r w:rsidR="00E653D5">
        <w:t>;</w:t>
      </w:r>
      <w:r w:rsidRPr="00121370">
        <w:rPr>
          <w:szCs w:val="24"/>
        </w:rPr>
        <w:t xml:space="preserve"> </w:t>
      </w:r>
    </w:p>
    <w:p w14:paraId="07E7B31F" w14:textId="1C433567" w:rsidR="00121370" w:rsidRPr="007364A2" w:rsidRDefault="00121370" w:rsidP="00121370">
      <w:pPr>
        <w:pStyle w:val="FOFNumbered"/>
        <w:numPr>
          <w:ilvl w:val="0"/>
          <w:numId w:val="11"/>
        </w:numPr>
      </w:pPr>
      <w:r>
        <w:t>A performance bonus of $1,673,</w:t>
      </w:r>
      <w:r w:rsidR="00C01C5E" w:rsidRPr="007364A2">
        <w:t xml:space="preserve">207 </w:t>
      </w:r>
      <w:r w:rsidRPr="007364A2">
        <w:t>associated with the results of ETI’s 2018 energy</w:t>
      </w:r>
      <w:r w:rsidR="00A018F4">
        <w:t xml:space="preserve"> </w:t>
      </w:r>
      <w:r w:rsidRPr="007364A2">
        <w:t xml:space="preserve">efficiency programs; </w:t>
      </w:r>
    </w:p>
    <w:p w14:paraId="6F3D0E99" w14:textId="59647906" w:rsidR="00121370" w:rsidRDefault="00121370" w:rsidP="00121370">
      <w:pPr>
        <w:pStyle w:val="FOFNumbered"/>
        <w:numPr>
          <w:ilvl w:val="0"/>
          <w:numId w:val="11"/>
        </w:numPr>
      </w:pPr>
      <w:r w:rsidRPr="007364A2">
        <w:t>A</w:t>
      </w:r>
      <w:r w:rsidR="001938D4" w:rsidRPr="007364A2">
        <w:t xml:space="preserve"> refund of </w:t>
      </w:r>
      <w:r w:rsidRPr="007364A2">
        <w:rPr>
          <w:szCs w:val="24"/>
        </w:rPr>
        <w:t>$1,386,</w:t>
      </w:r>
      <w:r w:rsidR="00C01C5E" w:rsidRPr="007364A2">
        <w:rPr>
          <w:szCs w:val="24"/>
        </w:rPr>
        <w:t xml:space="preserve">610 </w:t>
      </w:r>
      <w:r w:rsidR="001938D4" w:rsidRPr="007364A2">
        <w:rPr>
          <w:szCs w:val="24"/>
        </w:rPr>
        <w:t>for</w:t>
      </w:r>
      <w:r w:rsidR="001938D4">
        <w:rPr>
          <w:szCs w:val="24"/>
        </w:rPr>
        <w:t xml:space="preserve"> the net over-recovery of 2018 energy</w:t>
      </w:r>
      <w:r w:rsidR="00A018F4">
        <w:rPr>
          <w:szCs w:val="24"/>
        </w:rPr>
        <w:t xml:space="preserve"> </w:t>
      </w:r>
      <w:r w:rsidR="001938D4">
        <w:rPr>
          <w:szCs w:val="24"/>
        </w:rPr>
        <w:t>efficiency costs</w:t>
      </w:r>
      <w:r>
        <w:t>; and</w:t>
      </w:r>
    </w:p>
    <w:p w14:paraId="635DA796" w14:textId="021B2068" w:rsidR="00121370" w:rsidRDefault="00F4058C" w:rsidP="00121370">
      <w:pPr>
        <w:pStyle w:val="FOFNumbered"/>
        <w:numPr>
          <w:ilvl w:val="0"/>
          <w:numId w:val="11"/>
        </w:numPr>
      </w:pPr>
      <w:r>
        <w:t>EECRF p</w:t>
      </w:r>
      <w:r w:rsidR="00121370">
        <w:t xml:space="preserve">roceeding costs of $109,336 (including </w:t>
      </w:r>
      <w:r w:rsidR="00121370" w:rsidRPr="00121370">
        <w:rPr>
          <w:szCs w:val="24"/>
        </w:rPr>
        <w:t xml:space="preserve">$98,064 for ETI’s </w:t>
      </w:r>
      <w:r w:rsidR="00121370">
        <w:t xml:space="preserve">expenses and </w:t>
      </w:r>
      <w:r w:rsidR="00121370" w:rsidRPr="00121370">
        <w:rPr>
          <w:szCs w:val="24"/>
        </w:rPr>
        <w:t>$11,273 for Cities’</w:t>
      </w:r>
      <w:r w:rsidR="00121370">
        <w:t xml:space="preserve"> expenses</w:t>
      </w:r>
      <w:r w:rsidR="00121370" w:rsidRPr="00121370">
        <w:rPr>
          <w:szCs w:val="24"/>
        </w:rPr>
        <w:t>).</w:t>
      </w:r>
    </w:p>
    <w:p w14:paraId="59992756" w14:textId="6E0EBE01" w:rsidR="00121370" w:rsidRPr="007D15CC" w:rsidRDefault="001938D4" w:rsidP="001938D4">
      <w:pPr>
        <w:pStyle w:val="FOFNumbered"/>
        <w:numPr>
          <w:ilvl w:val="0"/>
          <w:numId w:val="0"/>
        </w:numPr>
        <w:ind w:left="720" w:hanging="720"/>
        <w:rPr>
          <w:i/>
          <w:u w:val="single"/>
        </w:rPr>
      </w:pPr>
      <w:r w:rsidRPr="007D15CC">
        <w:rPr>
          <w:b/>
          <w:i/>
          <w:u w:val="single"/>
        </w:rPr>
        <w:t>Notice</w:t>
      </w:r>
      <w:r w:rsidRPr="007D15CC">
        <w:rPr>
          <w:i/>
          <w:u w:val="single"/>
        </w:rPr>
        <w:t xml:space="preserve"> 16 TAC §</w:t>
      </w:r>
      <w:r w:rsidR="007D15CC" w:rsidRPr="007D15CC">
        <w:rPr>
          <w:i/>
          <w:u w:val="single"/>
        </w:rPr>
        <w:t>§ 22.55, 25.182(d)(13), and (14)</w:t>
      </w:r>
    </w:p>
    <w:p w14:paraId="1CD8EF43" w14:textId="7E83B564" w:rsidR="007D15CC" w:rsidRDefault="007D15CC" w:rsidP="007D15CC">
      <w:pPr>
        <w:pStyle w:val="FOFNumbered"/>
      </w:pPr>
      <w:r w:rsidRPr="00827CDE">
        <w:t xml:space="preserve">ETI provided notice of </w:t>
      </w:r>
      <w:r>
        <w:t>the application</w:t>
      </w:r>
      <w:r w:rsidRPr="00827CDE">
        <w:t xml:space="preserve"> on May </w:t>
      </w:r>
      <w:r>
        <w:t>1, 2019,</w:t>
      </w:r>
      <w:r w:rsidRPr="00827CDE">
        <w:t xml:space="preserve"> by providing in writing a general description of the application and the docket</w:t>
      </w:r>
      <w:r>
        <w:t xml:space="preserve"> </w:t>
      </w:r>
      <w:r w:rsidRPr="00827CDE">
        <w:t>number assigned to the application to a</w:t>
      </w:r>
      <w:r>
        <w:t xml:space="preserve">ll </w:t>
      </w:r>
      <w:r>
        <w:lastRenderedPageBreak/>
        <w:t>parties participating in ETI’</w:t>
      </w:r>
      <w:r w:rsidRPr="00827CDE">
        <w:t>s most recent EECRF proceeding</w:t>
      </w:r>
      <w:r>
        <w:t xml:space="preserve">, </w:t>
      </w:r>
      <w:r w:rsidRPr="00827CDE">
        <w:t xml:space="preserve">Docket No. </w:t>
      </w:r>
      <w:r>
        <w:t>48333</w:t>
      </w:r>
      <w:r>
        <w:rPr>
          <w:rStyle w:val="FootnoteReference"/>
        </w:rPr>
        <w:footnoteReference w:id="3"/>
      </w:r>
      <w:r>
        <w:t xml:space="preserve"> and ETI’</w:t>
      </w:r>
      <w:r w:rsidRPr="00827CDE">
        <w:t>s most recently-completed base rate case</w:t>
      </w:r>
      <w:r>
        <w:t xml:space="preserve">, </w:t>
      </w:r>
      <w:r w:rsidRPr="00827CDE">
        <w:t>Docket No. 4</w:t>
      </w:r>
      <w:r>
        <w:t>8371</w:t>
      </w:r>
      <w:r w:rsidRPr="00827CDE">
        <w:t>.</w:t>
      </w:r>
      <w:r>
        <w:rPr>
          <w:rStyle w:val="FootnoteReference"/>
        </w:rPr>
        <w:footnoteReference w:id="4"/>
      </w:r>
      <w:r w:rsidRPr="00827CDE">
        <w:t xml:space="preserve"> </w:t>
      </w:r>
      <w:r>
        <w:t xml:space="preserve"> On May 1, 2019</w:t>
      </w:r>
      <w:r w:rsidRPr="00827CDE">
        <w:t xml:space="preserve">, ETI </w:t>
      </w:r>
      <w:r>
        <w:t xml:space="preserve">also </w:t>
      </w:r>
      <w:r w:rsidRPr="00827CDE">
        <w:t>provided notice of</w:t>
      </w:r>
      <w:r>
        <w:t xml:space="preserve"> the application </w:t>
      </w:r>
      <w:r w:rsidRPr="00827CDE">
        <w:t xml:space="preserve">to the state agency that administers the federal weatherization </w:t>
      </w:r>
      <w:r>
        <w:t>program</w:t>
      </w:r>
      <w:r w:rsidRPr="00827CDE">
        <w:t>, the Texas Department of Housing &amp; Community Affairs.</w:t>
      </w:r>
    </w:p>
    <w:p w14:paraId="0E93199F" w14:textId="34325F50" w:rsidR="007D15CC" w:rsidRDefault="007D15CC" w:rsidP="007D15CC">
      <w:pPr>
        <w:pStyle w:val="FOFNumbered"/>
      </w:pPr>
      <w:r>
        <w:t>On May 15, 2019</w:t>
      </w:r>
      <w:r w:rsidRPr="00827CDE">
        <w:t xml:space="preserve">, ETI filed proof </w:t>
      </w:r>
      <w:r>
        <w:t>of notice of its EECRF application.</w:t>
      </w:r>
    </w:p>
    <w:p w14:paraId="0B7F4287" w14:textId="0C689DE8" w:rsidR="007D15CC" w:rsidRDefault="007D15CC" w:rsidP="007D15CC">
      <w:pPr>
        <w:pStyle w:val="FOFNumbered"/>
      </w:pPr>
      <w:r>
        <w:t xml:space="preserve">In SOAH Order No. 2 issued on June 7, 2019, the SOAH ALJ found the notice </w:t>
      </w:r>
      <w:proofErr w:type="gramStart"/>
      <w:r>
        <w:t>sufficient</w:t>
      </w:r>
      <w:proofErr w:type="gramEnd"/>
      <w:r>
        <w:t>.</w:t>
      </w:r>
    </w:p>
    <w:p w14:paraId="247E74D8" w14:textId="64BC8DEE" w:rsidR="007D15CC" w:rsidRPr="007D15CC" w:rsidRDefault="007D15CC" w:rsidP="007D15CC">
      <w:pPr>
        <w:pStyle w:val="FOFNumbered"/>
        <w:numPr>
          <w:ilvl w:val="0"/>
          <w:numId w:val="0"/>
        </w:numPr>
        <w:rPr>
          <w:i/>
          <w:u w:val="single"/>
        </w:rPr>
      </w:pPr>
      <w:r w:rsidRPr="007D15CC">
        <w:rPr>
          <w:b/>
          <w:i/>
          <w:u w:val="single"/>
        </w:rPr>
        <w:t>Intervenors and Intervenor Alignment</w:t>
      </w:r>
      <w:r>
        <w:rPr>
          <w:i/>
          <w:u w:val="single"/>
        </w:rPr>
        <w:t xml:space="preserve"> 16 TAC § 22.103-22.105</w:t>
      </w:r>
    </w:p>
    <w:p w14:paraId="2984D0C7" w14:textId="53170B9B" w:rsidR="00F322D0" w:rsidRDefault="00F322D0" w:rsidP="00B2385E">
      <w:pPr>
        <w:pStyle w:val="FOFNumbered"/>
      </w:pPr>
      <w:r>
        <w:t>Commission Staff participated in this docket.</w:t>
      </w:r>
    </w:p>
    <w:p w14:paraId="3E123425" w14:textId="65B6F911" w:rsidR="00B2385E" w:rsidRDefault="00386E6B" w:rsidP="00386E6B">
      <w:pPr>
        <w:pStyle w:val="FOFNumbered"/>
      </w:pPr>
      <w:r>
        <w:t xml:space="preserve">In SOAH Order No. 1 issued on June 3, 2019, the SOAH </w:t>
      </w:r>
      <w:r w:rsidR="00DD533F">
        <w:t xml:space="preserve">ALJ </w:t>
      </w:r>
      <w:r>
        <w:t xml:space="preserve">granted the motion to intervene of the Cities of </w:t>
      </w:r>
      <w:r w:rsidR="00B2385E" w:rsidRPr="00F9341A">
        <w:t>Anahuac, Beaumont, Bridge City</w:t>
      </w:r>
      <w:r w:rsidR="00B2385E">
        <w:t>,</w:t>
      </w:r>
      <w:r w:rsidR="00B2385E" w:rsidRPr="00F9341A">
        <w:t xml:space="preserve"> Cleveland, Dayton, Groves, Houston, Huntsville, Liberty</w:t>
      </w:r>
      <w:r w:rsidR="00B2385E">
        <w:t>,</w:t>
      </w:r>
      <w:r w:rsidR="00B2385E" w:rsidRPr="00F9341A">
        <w:t xml:space="preserve"> Montgomery</w:t>
      </w:r>
      <w:r w:rsidR="00B2385E">
        <w:t>,</w:t>
      </w:r>
      <w:r w:rsidR="00B2385E" w:rsidRPr="00F9341A">
        <w:t xml:space="preserve"> Navasota, Nederland, Oak Ridge North, Orange, Pine Forest, Pinehurst</w:t>
      </w:r>
      <w:r w:rsidR="00B2385E">
        <w:t xml:space="preserve">, </w:t>
      </w:r>
      <w:r w:rsidR="00B2385E" w:rsidRPr="00F9341A">
        <w:t xml:space="preserve">Port Arthur, Port Neches, </w:t>
      </w:r>
      <w:r w:rsidR="00A47FD1">
        <w:t xml:space="preserve">Roman Forest, </w:t>
      </w:r>
      <w:r w:rsidR="00B2385E" w:rsidRPr="00F9341A">
        <w:t>Shenandoah, Sour Lake, Splendora, Vidor, and West Orange (</w:t>
      </w:r>
      <w:r w:rsidR="00414C43">
        <w:t xml:space="preserve">collectively, </w:t>
      </w:r>
      <w:r w:rsidR="00B2385E" w:rsidRPr="00F9341A">
        <w:t>Cities)</w:t>
      </w:r>
      <w:r>
        <w:t xml:space="preserve"> and </w:t>
      </w:r>
      <w:r w:rsidR="00B2385E" w:rsidRPr="00F9341A">
        <w:t>Texas Industrial Energy Consumers</w:t>
      </w:r>
      <w:r>
        <w:t>’</w:t>
      </w:r>
      <w:r w:rsidR="00B2385E" w:rsidRPr="00F9341A">
        <w:t xml:space="preserve"> (TIEC)</w:t>
      </w:r>
      <w:r>
        <w:t xml:space="preserve"> motion to intervene</w:t>
      </w:r>
      <w:r w:rsidR="00B2385E" w:rsidRPr="00F9341A">
        <w:t>.</w:t>
      </w:r>
    </w:p>
    <w:p w14:paraId="7946AF3C" w14:textId="2FB9D321" w:rsidR="00386E6B" w:rsidRPr="00386E6B" w:rsidRDefault="00386E6B" w:rsidP="00386E6B">
      <w:pPr>
        <w:pStyle w:val="FOFNumbered"/>
        <w:numPr>
          <w:ilvl w:val="0"/>
          <w:numId w:val="0"/>
        </w:numPr>
        <w:rPr>
          <w:i/>
          <w:u w:val="single"/>
        </w:rPr>
      </w:pPr>
      <w:r w:rsidRPr="00386E6B">
        <w:rPr>
          <w:b/>
          <w:i/>
          <w:u w:val="single"/>
        </w:rPr>
        <w:t>Statements of Position and Testimony</w:t>
      </w:r>
      <w:r w:rsidRPr="00386E6B">
        <w:rPr>
          <w:i/>
          <w:u w:val="single"/>
        </w:rPr>
        <w:t xml:space="preserve"> 16 TAC §§ 22.124 and 22.225</w:t>
      </w:r>
    </w:p>
    <w:p w14:paraId="57215523" w14:textId="77777777" w:rsidR="00386E6B" w:rsidRDefault="00B2385E" w:rsidP="00B2385E">
      <w:pPr>
        <w:pStyle w:val="FOFNumbered"/>
      </w:pPr>
      <w:r>
        <w:t xml:space="preserve">On </w:t>
      </w:r>
      <w:r w:rsidR="00386E6B">
        <w:t>May 1, 2019, ETI filed the direct testimonies with schedules and workpapers of John K. Carson and Jessica C. Landry and the affidavits of Wajiha Rizvi and Daniel J. Lawton.</w:t>
      </w:r>
    </w:p>
    <w:p w14:paraId="706D9613" w14:textId="1CAADC54" w:rsidR="004C196C" w:rsidRDefault="004C196C" w:rsidP="00F7063A">
      <w:pPr>
        <w:pStyle w:val="FOFNumbered"/>
      </w:pPr>
      <w:r>
        <w:t xml:space="preserve">On May 16, 2019, and July 17, 2019, ETI filed revisions to the direct testimonies and exhibits of </w:t>
      </w:r>
      <w:r w:rsidR="00F7063A" w:rsidRPr="00F7063A">
        <w:t>John K. Carson and Jessica C. Landry</w:t>
      </w:r>
      <w:r w:rsidR="00F7063A">
        <w:t>.</w:t>
      </w:r>
    </w:p>
    <w:p w14:paraId="61FD87A3" w14:textId="6115FA48" w:rsidR="00B2385E" w:rsidRPr="00827CDE" w:rsidRDefault="00B2385E" w:rsidP="00B2385E">
      <w:pPr>
        <w:pStyle w:val="FOFNumbered"/>
      </w:pPr>
      <w:r>
        <w:t xml:space="preserve">On </w:t>
      </w:r>
      <w:r w:rsidR="0095426B">
        <w:t xml:space="preserve">August </w:t>
      </w:r>
      <w:r w:rsidR="001514C8">
        <w:t>14</w:t>
      </w:r>
      <w:r w:rsidR="0095426B">
        <w:t>, 201</w:t>
      </w:r>
      <w:r w:rsidR="0039467F">
        <w:t>9</w:t>
      </w:r>
      <w:r>
        <w:t>,</w:t>
      </w:r>
      <w:r w:rsidRPr="00827CDE">
        <w:t xml:space="preserve"> ETI filed the testimony of </w:t>
      </w:r>
      <w:r>
        <w:t>ETI</w:t>
      </w:r>
      <w:r w:rsidRPr="00827CDE">
        <w:t xml:space="preserve"> witness John K. Carson in support of the </w:t>
      </w:r>
      <w:r w:rsidR="002D4274">
        <w:t>A</w:t>
      </w:r>
      <w:r w:rsidR="00B66027">
        <w:t>greement</w:t>
      </w:r>
      <w:r w:rsidRPr="00827CDE">
        <w:t>.</w:t>
      </w:r>
    </w:p>
    <w:p w14:paraId="56496802" w14:textId="063C7729" w:rsidR="00B2385E" w:rsidRDefault="00B2385E" w:rsidP="00B2385E">
      <w:pPr>
        <w:pStyle w:val="FOFNumbered"/>
      </w:pPr>
      <w:r w:rsidRPr="00827CDE">
        <w:t xml:space="preserve">On </w:t>
      </w:r>
      <w:r w:rsidR="0095426B">
        <w:t xml:space="preserve">August </w:t>
      </w:r>
      <w:r w:rsidR="001514C8">
        <w:t>14</w:t>
      </w:r>
      <w:r w:rsidR="0095426B">
        <w:t>, 201</w:t>
      </w:r>
      <w:r w:rsidR="0039467F">
        <w:t>9</w:t>
      </w:r>
      <w:r w:rsidRPr="00827CDE">
        <w:t xml:space="preserve">, Commission Staff filed the </w:t>
      </w:r>
      <w:r w:rsidR="00B66027" w:rsidRPr="00827CDE">
        <w:t xml:space="preserve">affidavits </w:t>
      </w:r>
      <w:r w:rsidRPr="00827CDE">
        <w:t xml:space="preserve">of </w:t>
      </w:r>
      <w:r w:rsidR="001514C8">
        <w:t>Therese Harris, Brian Murphy, and Ruth Stark</w:t>
      </w:r>
      <w:r w:rsidR="005D511B" w:rsidRPr="00827CDE">
        <w:t xml:space="preserve"> </w:t>
      </w:r>
      <w:r w:rsidRPr="00827CDE">
        <w:t xml:space="preserve">in support of the </w:t>
      </w:r>
      <w:r w:rsidR="002D4274">
        <w:t>A</w:t>
      </w:r>
      <w:r w:rsidR="00B66027">
        <w:t>greement</w:t>
      </w:r>
      <w:r w:rsidRPr="00827CDE">
        <w:t>.</w:t>
      </w:r>
    </w:p>
    <w:p w14:paraId="5ED8BF78" w14:textId="77777777" w:rsidR="00933546" w:rsidRDefault="00386E6B" w:rsidP="00933546">
      <w:pPr>
        <w:pStyle w:val="FOFNumbered"/>
        <w:numPr>
          <w:ilvl w:val="0"/>
          <w:numId w:val="0"/>
        </w:numPr>
        <w:rPr>
          <w:i/>
          <w:u w:val="single"/>
        </w:rPr>
      </w:pPr>
      <w:r w:rsidRPr="00386E6B">
        <w:rPr>
          <w:b/>
          <w:i/>
          <w:u w:val="single"/>
        </w:rPr>
        <w:lastRenderedPageBreak/>
        <w:t>Referral to SOAH</w:t>
      </w:r>
      <w:r w:rsidRPr="00386E6B">
        <w:rPr>
          <w:i/>
          <w:u w:val="single"/>
        </w:rPr>
        <w:t xml:space="preserve"> 16 TAC §§ 22.121 and 25.182(f)(9)</w:t>
      </w:r>
    </w:p>
    <w:p w14:paraId="513FA7B4" w14:textId="1E566A22" w:rsidR="00386E6B" w:rsidRPr="00827CDE" w:rsidRDefault="00933546" w:rsidP="00B2385E">
      <w:pPr>
        <w:pStyle w:val="FOFNumbered"/>
      </w:pPr>
      <w:r>
        <w:t xml:space="preserve">On May 2, 2019, the Commission referred this proceeding to SOAH for assignment of an ALJ to conduct a hearing and issue a proposal for decision, if necessary. </w:t>
      </w:r>
    </w:p>
    <w:p w14:paraId="4D6F99BD" w14:textId="77777777" w:rsidR="00933546" w:rsidRDefault="00B2385E" w:rsidP="00B2385E">
      <w:pPr>
        <w:pStyle w:val="FOFNumbered"/>
      </w:pPr>
      <w:r w:rsidRPr="00827CDE">
        <w:t xml:space="preserve">On </w:t>
      </w:r>
      <w:r w:rsidR="00933546">
        <w:t xml:space="preserve">May 24, 2019, the Commission approved a preliminary order for this docket, which included a list of issues to be addressed in this proceeding. </w:t>
      </w:r>
    </w:p>
    <w:p w14:paraId="4D39B44B" w14:textId="36FD7054" w:rsidR="00933546" w:rsidRDefault="00933546" w:rsidP="00B2385E">
      <w:pPr>
        <w:pStyle w:val="FOFNumbered"/>
      </w:pPr>
      <w:r>
        <w:t>In SOAH Order No. 1 issue</w:t>
      </w:r>
      <w:r w:rsidR="00DE3881">
        <w:t>d</w:t>
      </w:r>
      <w:r>
        <w:t xml:space="preserve"> on June 3, 2019, the SOAH ALJ described the case, set deadlines, established administrative procedures, and approved a protective order. </w:t>
      </w:r>
    </w:p>
    <w:p w14:paraId="6ACB3AD4" w14:textId="33CB1D95" w:rsidR="00933546" w:rsidRDefault="00933546" w:rsidP="00B2385E">
      <w:pPr>
        <w:pStyle w:val="FOFNumbered"/>
      </w:pPr>
      <w:r>
        <w:t>In SOAH Order No. 2 issue</w:t>
      </w:r>
      <w:r w:rsidR="00DE3881">
        <w:t>d</w:t>
      </w:r>
      <w:r>
        <w:t xml:space="preserve"> on June 7, 2019, the SOAH ALJ adopted a procedural schedule and gave notice of the convening of the hearing on the merits, which was set for one day at the SOAH offices on Friday, August 2, 2019.</w:t>
      </w:r>
    </w:p>
    <w:p w14:paraId="3928EC77" w14:textId="55224A52" w:rsidR="00933546" w:rsidRDefault="00933546" w:rsidP="00B2385E">
      <w:pPr>
        <w:pStyle w:val="FOFNumbered"/>
      </w:pPr>
      <w:r>
        <w:t>On May 15, 2019, Commission Staff and Cities requested a hearing on the merits.</w:t>
      </w:r>
    </w:p>
    <w:p w14:paraId="1F8A03C2" w14:textId="42303EDC" w:rsidR="00933546" w:rsidRPr="00933546" w:rsidRDefault="00933546" w:rsidP="00933546">
      <w:pPr>
        <w:pStyle w:val="FOFNumbered"/>
        <w:numPr>
          <w:ilvl w:val="0"/>
          <w:numId w:val="0"/>
        </w:numPr>
        <w:rPr>
          <w:i/>
          <w:u w:val="single"/>
        </w:rPr>
      </w:pPr>
      <w:r w:rsidRPr="00933546">
        <w:rPr>
          <w:b/>
          <w:i/>
          <w:u w:val="single"/>
        </w:rPr>
        <w:t>Energy</w:t>
      </w:r>
      <w:r w:rsidR="00A018F4">
        <w:rPr>
          <w:b/>
          <w:i/>
          <w:u w:val="single"/>
        </w:rPr>
        <w:t xml:space="preserve"> </w:t>
      </w:r>
      <w:r w:rsidRPr="00933546">
        <w:rPr>
          <w:b/>
          <w:i/>
          <w:u w:val="single"/>
        </w:rPr>
        <w:t>Efficiency Goals</w:t>
      </w:r>
      <w:r w:rsidRPr="00933546">
        <w:rPr>
          <w:i/>
          <w:u w:val="single"/>
        </w:rPr>
        <w:t xml:space="preserve"> 16 TAC § 25.181(e)</w:t>
      </w:r>
    </w:p>
    <w:p w14:paraId="0EC979BB" w14:textId="4DB9ECF8" w:rsidR="00933546" w:rsidRPr="00A77DA3" w:rsidRDefault="00933546" w:rsidP="00B2385E">
      <w:pPr>
        <w:pStyle w:val="FOFNumbered"/>
      </w:pPr>
      <w:r>
        <w:t>ETI’s weather-adju</w:t>
      </w:r>
      <w:r w:rsidRPr="00693BA1">
        <w:t xml:space="preserve">sted average annual growth in demand for the previous five years (2014-2018), after industrial customer exclusions </w:t>
      </w:r>
      <w:r w:rsidRPr="00A77DA3">
        <w:t>re</w:t>
      </w:r>
      <w:r w:rsidR="001B58AF" w:rsidRPr="00A77DA3">
        <w:t xml:space="preserve">presenting </w:t>
      </w:r>
      <w:r w:rsidR="00F00409">
        <w:t>3</w:t>
      </w:r>
      <w:r w:rsidR="00C01C5E" w:rsidRPr="00A77DA3">
        <w:t xml:space="preserve"> </w:t>
      </w:r>
      <w:r w:rsidR="001B58AF" w:rsidRPr="00A77DA3">
        <w:t xml:space="preserve">megawatts (MW), is </w:t>
      </w:r>
      <w:r w:rsidR="00B225C1">
        <w:t>-</w:t>
      </w:r>
      <w:r w:rsidR="00C01C5E" w:rsidRPr="00A77DA3">
        <w:t xml:space="preserve">25,558 </w:t>
      </w:r>
      <w:r w:rsidR="00E5569A" w:rsidRPr="00A77DA3">
        <w:t>kilowatts (</w:t>
      </w:r>
      <w:r w:rsidR="001B58AF" w:rsidRPr="00A77DA3">
        <w:t>kW</w:t>
      </w:r>
      <w:r w:rsidR="00E5569A" w:rsidRPr="00A77DA3">
        <w:t>)</w:t>
      </w:r>
      <w:r w:rsidR="001B58AF" w:rsidRPr="00A77DA3">
        <w:t>.</w:t>
      </w:r>
    </w:p>
    <w:p w14:paraId="67857873" w14:textId="4FF1E9B1" w:rsidR="00E5569A" w:rsidRPr="00A77DA3" w:rsidRDefault="00E5569A" w:rsidP="00B2385E">
      <w:pPr>
        <w:pStyle w:val="FOFNumbered"/>
      </w:pPr>
      <w:r w:rsidRPr="00A77DA3">
        <w:t xml:space="preserve">ETI’s 2020 minimum goal of a 30% reduction of average annual growth in demand for </w:t>
      </w:r>
      <w:r w:rsidR="00693BA1" w:rsidRPr="00A77DA3">
        <w:t>f</w:t>
      </w:r>
      <w:r w:rsidRPr="00A77DA3">
        <w:t xml:space="preserve">ive years is </w:t>
      </w:r>
      <w:r w:rsidR="00096038" w:rsidRPr="00A77DA3">
        <w:t>7,095</w:t>
      </w:r>
      <w:r w:rsidR="00C01C5E" w:rsidRPr="00A77DA3">
        <w:t xml:space="preserve"> </w:t>
      </w:r>
      <w:r w:rsidRPr="00A77DA3">
        <w:t>kW at source.</w:t>
      </w:r>
    </w:p>
    <w:p w14:paraId="6BF09D23" w14:textId="0D2082F1" w:rsidR="00E5569A" w:rsidRPr="00693BA1" w:rsidRDefault="00E5569A" w:rsidP="00693BA1">
      <w:pPr>
        <w:pStyle w:val="FOFNumbered"/>
        <w:shd w:val="clear" w:color="auto" w:fill="FFFFFF" w:themeFill="background1"/>
      </w:pPr>
      <w:r w:rsidRPr="00693BA1">
        <w:t>In ETI’s 2011 EECRF application, Docket No. 39366,</w:t>
      </w:r>
      <w:r w:rsidRPr="00693BA1">
        <w:rPr>
          <w:rStyle w:val="FootnoteReference"/>
        </w:rPr>
        <w:footnoteReference w:id="5"/>
      </w:r>
      <w:r w:rsidRPr="00693BA1">
        <w:t xml:space="preserve"> ETI agreed to a demand-reduction goal of 15,500 kW and an energy-savings goal of 27,156,000 kilowatt-hours (kWh) for 2012.</w:t>
      </w:r>
    </w:p>
    <w:p w14:paraId="334C13DF" w14:textId="08A004B5" w:rsidR="00E5569A" w:rsidRPr="003F6735" w:rsidRDefault="00E5569A" w:rsidP="00693BA1">
      <w:pPr>
        <w:pStyle w:val="FOFNumbered"/>
        <w:shd w:val="clear" w:color="auto" w:fill="FFFFFF" w:themeFill="background1"/>
      </w:pPr>
      <w:r w:rsidRPr="00693BA1">
        <w:t>Under 16 TAC § 25.181(e)(1)(D), a utility’s demand-reduction goal may not be lower than the prior year, except as adjusted under § 25.181(</w:t>
      </w:r>
      <w:r w:rsidR="00761402">
        <w:t>u</w:t>
      </w:r>
      <w:r w:rsidRPr="00693BA1">
        <w:t xml:space="preserve">) for industrial customer exclusions. Thus, for </w:t>
      </w:r>
      <w:r w:rsidRPr="003F6735">
        <w:t>20</w:t>
      </w:r>
      <w:r w:rsidR="00693BA1" w:rsidRPr="003F6735">
        <w:t>20</w:t>
      </w:r>
      <w:r w:rsidRPr="003F6735">
        <w:t xml:space="preserve">, ETI’s demand-reduction goal </w:t>
      </w:r>
      <w:r w:rsidRPr="00A77DA3">
        <w:t xml:space="preserve">is </w:t>
      </w:r>
      <w:r w:rsidR="00096038" w:rsidRPr="00A77DA3">
        <w:t xml:space="preserve">15,500 </w:t>
      </w:r>
      <w:r w:rsidRPr="00A77DA3">
        <w:t>kW</w:t>
      </w:r>
      <w:r w:rsidRPr="003F6735">
        <w:t>.</w:t>
      </w:r>
    </w:p>
    <w:p w14:paraId="347563DB" w14:textId="5B84D52B" w:rsidR="003F6735" w:rsidRDefault="003F6735" w:rsidP="00693BA1">
      <w:pPr>
        <w:pStyle w:val="FOFNumbered"/>
        <w:shd w:val="clear" w:color="auto" w:fill="FFFFFF" w:themeFill="background1"/>
      </w:pPr>
      <w:r w:rsidRPr="003F6735">
        <w:t>ETI</w:t>
      </w:r>
      <w:r>
        <w:t xml:space="preserve"> projects that it will achieve 15,500 kW in peak-demand reductions in program year 2020, which is equal to the minimum of 15,500 kW under 16 TAC § 25.181(e)(1)(E).</w:t>
      </w:r>
    </w:p>
    <w:p w14:paraId="11F2C903" w14:textId="45C15C41" w:rsidR="003F6735" w:rsidRDefault="003F6735" w:rsidP="00693BA1">
      <w:pPr>
        <w:pStyle w:val="FOFNumbered"/>
        <w:shd w:val="clear" w:color="auto" w:fill="FFFFFF" w:themeFill="background1"/>
      </w:pPr>
      <w:r>
        <w:lastRenderedPageBreak/>
        <w:t xml:space="preserve">ETI’s 2020 energy-savings goal, using a 20% load-conservation factor under 16 TAC § 25.181(e)(4), is </w:t>
      </w:r>
      <w:r w:rsidR="00096038" w:rsidRPr="00A77DA3">
        <w:t xml:space="preserve">27,156,000 </w:t>
      </w:r>
      <w:r w:rsidRPr="00A77DA3">
        <w:t>kWh</w:t>
      </w:r>
      <w:r>
        <w:t>.</w:t>
      </w:r>
    </w:p>
    <w:p w14:paraId="00250176" w14:textId="7515DAD9" w:rsidR="003F6735" w:rsidRPr="00A77DA3" w:rsidRDefault="003F6735" w:rsidP="00693BA1">
      <w:pPr>
        <w:pStyle w:val="FOFNumbered"/>
        <w:shd w:val="clear" w:color="auto" w:fill="FFFFFF" w:themeFill="background1"/>
      </w:pPr>
      <w:r>
        <w:t xml:space="preserve">ETI forecasts that it will achieve every </w:t>
      </w:r>
      <w:r w:rsidRPr="00A77DA3">
        <w:t xml:space="preserve">savings of </w:t>
      </w:r>
      <w:r w:rsidR="00096038" w:rsidRPr="00A77DA3">
        <w:t xml:space="preserve">27,156,000 </w:t>
      </w:r>
      <w:r w:rsidRPr="00A77DA3">
        <w:t>kWh in program year 2020.</w:t>
      </w:r>
    </w:p>
    <w:p w14:paraId="5A807CFA" w14:textId="4108EA7F" w:rsidR="003F6735" w:rsidRDefault="003F6735" w:rsidP="00693BA1">
      <w:pPr>
        <w:pStyle w:val="FOFNumbered"/>
        <w:shd w:val="clear" w:color="auto" w:fill="FFFFFF" w:themeFill="background1"/>
      </w:pPr>
      <w:r w:rsidRPr="00675E63">
        <w:t>In the 2018 program year, ETI achieved a demand reduction from its har</w:t>
      </w:r>
      <w:r w:rsidR="00FF6EAF">
        <w:t>d</w:t>
      </w:r>
      <w:r w:rsidRPr="00675E63">
        <w:t xml:space="preserve">-to-reach standard offer program of </w:t>
      </w:r>
      <w:r w:rsidR="00CB3709">
        <w:t>1,755</w:t>
      </w:r>
      <w:r w:rsidR="00096038" w:rsidRPr="00A77DA3">
        <w:t xml:space="preserve"> </w:t>
      </w:r>
      <w:r w:rsidRPr="00A77DA3">
        <w:t xml:space="preserve">kW, or </w:t>
      </w:r>
      <w:r w:rsidR="00096038" w:rsidRPr="00A77DA3">
        <w:t>11</w:t>
      </w:r>
      <w:r w:rsidRPr="00A77DA3">
        <w:t xml:space="preserve">% of the 2018 goal of </w:t>
      </w:r>
      <w:r w:rsidR="00096038" w:rsidRPr="00A77DA3">
        <w:t xml:space="preserve">15,500 </w:t>
      </w:r>
      <w:r w:rsidRPr="00A77DA3">
        <w:t>kW, which is in excess of the 5.0% minimum required by 16 TAC §</w:t>
      </w:r>
      <w:r w:rsidR="00FF6EAF">
        <w:t xml:space="preserve"> 25.</w:t>
      </w:r>
      <w:r w:rsidRPr="00A77DA3">
        <w:t xml:space="preserve">181(e)(3)(F). The estimated savings to be achieved through ETI’s 2020 program for hard-to-reach customers is </w:t>
      </w:r>
      <w:r w:rsidR="00096038" w:rsidRPr="00A77DA3">
        <w:t xml:space="preserve">1,100 </w:t>
      </w:r>
      <w:r w:rsidRPr="00A77DA3">
        <w:t xml:space="preserve">kW or </w:t>
      </w:r>
      <w:r w:rsidR="00096038" w:rsidRPr="00A77DA3">
        <w:t>7</w:t>
      </w:r>
      <w:r w:rsidR="00FF6EAF">
        <w:t>.1</w:t>
      </w:r>
      <w:r w:rsidRPr="00A77DA3">
        <w:t>%</w:t>
      </w:r>
      <w:r>
        <w:t xml:space="preserve"> of the proposed goal of </w:t>
      </w:r>
      <w:r w:rsidR="00096038">
        <w:t>15,500</w:t>
      </w:r>
      <w:r>
        <w:t xml:space="preserve"> kW, which is in excess of the 5.0% minimum required by 16 TAC § 25.181(e)(3)(F).</w:t>
      </w:r>
    </w:p>
    <w:p w14:paraId="37CC0597" w14:textId="13B3FA0A" w:rsidR="003F6735" w:rsidRPr="003F6735" w:rsidRDefault="003F6735" w:rsidP="003F6735">
      <w:pPr>
        <w:pStyle w:val="FOFNumbered"/>
        <w:numPr>
          <w:ilvl w:val="0"/>
          <w:numId w:val="0"/>
        </w:numPr>
        <w:shd w:val="clear" w:color="auto" w:fill="FFFFFF" w:themeFill="background1"/>
        <w:rPr>
          <w:b/>
          <w:i/>
          <w:u w:val="single"/>
        </w:rPr>
      </w:pPr>
      <w:r w:rsidRPr="003F6735">
        <w:rPr>
          <w:b/>
          <w:i/>
          <w:u w:val="single"/>
        </w:rPr>
        <w:t xml:space="preserve">Agreement </w:t>
      </w:r>
      <w:r w:rsidRPr="003F6735">
        <w:rPr>
          <w:i/>
          <w:u w:val="single"/>
        </w:rPr>
        <w:t>PURA § 14.054 and 16 TAC § 22.35</w:t>
      </w:r>
    </w:p>
    <w:p w14:paraId="5927EEDD" w14:textId="1C6EB404" w:rsidR="00B2385E" w:rsidRDefault="00FF6EAF" w:rsidP="00693BA1">
      <w:pPr>
        <w:pStyle w:val="FOFNumbered"/>
        <w:shd w:val="clear" w:color="auto" w:fill="FFFFFF" w:themeFill="background1"/>
      </w:pPr>
      <w:r>
        <w:t xml:space="preserve">On </w:t>
      </w:r>
      <w:r w:rsidR="0095426B">
        <w:t xml:space="preserve">August </w:t>
      </w:r>
      <w:r w:rsidR="001514C8">
        <w:t>14</w:t>
      </w:r>
      <w:r w:rsidR="0095426B">
        <w:t>, 201</w:t>
      </w:r>
      <w:r w:rsidR="0039467F">
        <w:t>9</w:t>
      </w:r>
      <w:r w:rsidR="00B2385E">
        <w:t>,</w:t>
      </w:r>
      <w:r w:rsidR="00B2385E" w:rsidRPr="00827CDE">
        <w:t xml:space="preserve"> ETI filed </w:t>
      </w:r>
      <w:r w:rsidR="003F6735">
        <w:t xml:space="preserve">the </w:t>
      </w:r>
      <w:r w:rsidR="00DE3881">
        <w:t>A</w:t>
      </w:r>
      <w:r w:rsidR="003F6735">
        <w:t xml:space="preserve">greement between ETI and Commission Staff, which resolved </w:t>
      </w:r>
      <w:proofErr w:type="gramStart"/>
      <w:r w:rsidR="003F6735">
        <w:t>all of</w:t>
      </w:r>
      <w:proofErr w:type="gramEnd"/>
      <w:r w:rsidR="003F6735">
        <w:t xml:space="preserve"> the issues between them in this proceeding. Cities and TIEC did not join, but </w:t>
      </w:r>
      <w:r>
        <w:t>d</w:t>
      </w:r>
      <w:r w:rsidR="003F6735">
        <w:t xml:space="preserve">o not oppose the </w:t>
      </w:r>
      <w:r w:rsidR="00DE3881">
        <w:t>A</w:t>
      </w:r>
      <w:r w:rsidR="003F6735">
        <w:t>greement</w:t>
      </w:r>
      <w:r w:rsidR="00B2385E" w:rsidRPr="00827CDE">
        <w:t>.</w:t>
      </w:r>
    </w:p>
    <w:p w14:paraId="3A8770D1" w14:textId="4A93BBF5" w:rsidR="003F6735" w:rsidRDefault="003F6735" w:rsidP="00693BA1">
      <w:pPr>
        <w:pStyle w:val="FOFNumbered"/>
        <w:shd w:val="clear" w:color="auto" w:fill="FFFFFF" w:themeFill="background1"/>
      </w:pPr>
      <w:r>
        <w:t xml:space="preserve">The signatories agreed </w:t>
      </w:r>
      <w:r w:rsidR="00764E7B">
        <w:t>on the requested amounts as revised in Errata No. 2.</w:t>
      </w:r>
    </w:p>
    <w:p w14:paraId="72A0C455" w14:textId="12212392" w:rsidR="00764E7B" w:rsidRDefault="00764E7B" w:rsidP="00764E7B">
      <w:pPr>
        <w:pStyle w:val="FOFNumbered"/>
      </w:pPr>
      <w:r>
        <w:t xml:space="preserve">Under the amended application agreed to by signatories, ETI’s EECRF would recover $8,010,785 during program year 2020, which includes: </w:t>
      </w:r>
    </w:p>
    <w:p w14:paraId="1C98D49C" w14:textId="28BBAAC5" w:rsidR="00764E7B" w:rsidRDefault="00764E7B" w:rsidP="00C7078A">
      <w:pPr>
        <w:pStyle w:val="FOFNumbered"/>
        <w:numPr>
          <w:ilvl w:val="0"/>
          <w:numId w:val="12"/>
        </w:numPr>
      </w:pPr>
      <w:r>
        <w:t>Forecasted energy</w:t>
      </w:r>
      <w:r w:rsidR="00A018F4">
        <w:t xml:space="preserve"> </w:t>
      </w:r>
      <w:r>
        <w:t xml:space="preserve">efficiency costs in program year </w:t>
      </w:r>
      <w:r w:rsidR="00B12607">
        <w:t xml:space="preserve">2020 </w:t>
      </w:r>
      <w:r>
        <w:t>of $7,508,671</w:t>
      </w:r>
      <w:r w:rsidR="001644D3">
        <w:t>;</w:t>
      </w:r>
    </w:p>
    <w:p w14:paraId="2E213585" w14:textId="0829771C" w:rsidR="00764E7B" w:rsidRDefault="00764E7B" w:rsidP="00C7078A">
      <w:pPr>
        <w:pStyle w:val="FOFNumbered"/>
        <w:numPr>
          <w:ilvl w:val="0"/>
          <w:numId w:val="12"/>
        </w:numPr>
      </w:pPr>
      <w:r>
        <w:t>EM&amp;V expenses in the amount of $106,180</w:t>
      </w:r>
      <w:r w:rsidR="009D39D7">
        <w:t xml:space="preserve"> to be collected in 2020</w:t>
      </w:r>
      <w:r w:rsidR="001644D3">
        <w:t>;</w:t>
      </w:r>
      <w:r w:rsidRPr="00121370">
        <w:rPr>
          <w:szCs w:val="24"/>
        </w:rPr>
        <w:t xml:space="preserve"> </w:t>
      </w:r>
    </w:p>
    <w:p w14:paraId="4B0F08C8" w14:textId="1F0CBD9F" w:rsidR="00764E7B" w:rsidRDefault="00764E7B" w:rsidP="00C7078A">
      <w:pPr>
        <w:pStyle w:val="FOFNumbered"/>
        <w:numPr>
          <w:ilvl w:val="0"/>
          <w:numId w:val="12"/>
        </w:numPr>
      </w:pPr>
      <w:r>
        <w:t>A performance bonus of $1,673,</w:t>
      </w:r>
      <w:r w:rsidR="0002741C">
        <w:t>207</w:t>
      </w:r>
      <w:r w:rsidR="0002741C" w:rsidRPr="00F76CEA">
        <w:t xml:space="preserve"> </w:t>
      </w:r>
      <w:r>
        <w:t>associated with the results</w:t>
      </w:r>
      <w:r w:rsidRPr="00F76CEA">
        <w:t xml:space="preserve"> of ETI’s 2018 energy</w:t>
      </w:r>
      <w:r w:rsidR="00A018F4">
        <w:t xml:space="preserve"> </w:t>
      </w:r>
      <w:r w:rsidRPr="00F76CEA">
        <w:t xml:space="preserve">efficiency programs; </w:t>
      </w:r>
    </w:p>
    <w:p w14:paraId="1AD0B5DA" w14:textId="46D3455E" w:rsidR="00764E7B" w:rsidRDefault="00764E7B" w:rsidP="00C7078A">
      <w:pPr>
        <w:pStyle w:val="FOFNumbered"/>
        <w:numPr>
          <w:ilvl w:val="0"/>
          <w:numId w:val="12"/>
        </w:numPr>
      </w:pPr>
      <w:r>
        <w:t xml:space="preserve">A refund of </w:t>
      </w:r>
      <w:r w:rsidRPr="00121370">
        <w:rPr>
          <w:szCs w:val="24"/>
        </w:rPr>
        <w:t>$1,386,</w:t>
      </w:r>
      <w:r w:rsidR="0002741C" w:rsidRPr="00121370">
        <w:rPr>
          <w:szCs w:val="24"/>
        </w:rPr>
        <w:t>6</w:t>
      </w:r>
      <w:r w:rsidR="0002741C">
        <w:rPr>
          <w:szCs w:val="24"/>
        </w:rPr>
        <w:t>1</w:t>
      </w:r>
      <w:r w:rsidR="0002741C" w:rsidRPr="00121370">
        <w:rPr>
          <w:szCs w:val="24"/>
        </w:rPr>
        <w:t xml:space="preserve">0 </w:t>
      </w:r>
      <w:r>
        <w:rPr>
          <w:szCs w:val="24"/>
        </w:rPr>
        <w:t>for the net over-recovery of 2018 energy</w:t>
      </w:r>
      <w:r w:rsidR="00A018F4">
        <w:rPr>
          <w:szCs w:val="24"/>
        </w:rPr>
        <w:t xml:space="preserve"> </w:t>
      </w:r>
      <w:r>
        <w:rPr>
          <w:szCs w:val="24"/>
        </w:rPr>
        <w:t>efficiency costs</w:t>
      </w:r>
      <w:r>
        <w:t>; and</w:t>
      </w:r>
    </w:p>
    <w:p w14:paraId="00782288" w14:textId="69178036" w:rsidR="00C7078A" w:rsidRDefault="00F65A32" w:rsidP="00C7078A">
      <w:pPr>
        <w:pStyle w:val="FOFNumbered"/>
        <w:numPr>
          <w:ilvl w:val="0"/>
          <w:numId w:val="12"/>
        </w:numPr>
      </w:pPr>
      <w:r>
        <w:t>EECRF p</w:t>
      </w:r>
      <w:r w:rsidR="00C7078A">
        <w:t xml:space="preserve">roceeding costs of $109,336 (including </w:t>
      </w:r>
      <w:r w:rsidR="00C7078A" w:rsidRPr="00121370">
        <w:rPr>
          <w:szCs w:val="24"/>
        </w:rPr>
        <w:t xml:space="preserve">$98,064 for ETI’s </w:t>
      </w:r>
      <w:r w:rsidR="00C7078A">
        <w:t xml:space="preserve">expenses and </w:t>
      </w:r>
      <w:r w:rsidR="00C7078A" w:rsidRPr="00121370">
        <w:rPr>
          <w:szCs w:val="24"/>
        </w:rPr>
        <w:t>$11,273 for Cities’</w:t>
      </w:r>
      <w:r w:rsidR="00C7078A">
        <w:t xml:space="preserve"> expenses</w:t>
      </w:r>
      <w:r w:rsidR="00C7078A" w:rsidRPr="00121370">
        <w:rPr>
          <w:szCs w:val="24"/>
        </w:rPr>
        <w:t>).</w:t>
      </w:r>
    </w:p>
    <w:p w14:paraId="6C74CB3B" w14:textId="4295F61F" w:rsidR="00764E7B" w:rsidRDefault="00764E7B" w:rsidP="00764E7B">
      <w:pPr>
        <w:pStyle w:val="FOFNumbered"/>
        <w:shd w:val="clear" w:color="auto" w:fill="FFFFFF" w:themeFill="background1"/>
      </w:pPr>
      <w:r>
        <w:t xml:space="preserve">The </w:t>
      </w:r>
      <w:r w:rsidR="005906D7">
        <w:t>A</w:t>
      </w:r>
      <w:r>
        <w:t xml:space="preserve">greement provides an effective date of the first billing cycle of ETI’s January 2020 billing month for ETI’s EECRF tariff rider to remain in effect until December 31, 2020, or until such time as the Commission orders otherwise. </w:t>
      </w:r>
    </w:p>
    <w:p w14:paraId="3A1D3F8B" w14:textId="0F9117EB" w:rsidR="00764E7B" w:rsidRDefault="00764E7B" w:rsidP="00764E7B">
      <w:pPr>
        <w:pStyle w:val="FOFNumbered"/>
        <w:shd w:val="clear" w:color="auto" w:fill="FFFFFF" w:themeFill="background1"/>
      </w:pPr>
      <w:r>
        <w:t xml:space="preserve">Under the </w:t>
      </w:r>
      <w:r w:rsidR="005906D7">
        <w:t>A</w:t>
      </w:r>
      <w:r>
        <w:t>greement, ETI’s proposed 2020 rate class factors are as follows:</w:t>
      </w:r>
    </w:p>
    <w:p w14:paraId="2495F638" w14:textId="77777777" w:rsidR="00B2385E" w:rsidRPr="004F3441" w:rsidRDefault="00B2385E" w:rsidP="00B2385E">
      <w:pPr>
        <w:tabs>
          <w:tab w:val="left" w:pos="6480"/>
        </w:tabs>
        <w:spacing w:before="146" w:line="278" w:lineRule="exact"/>
        <w:ind w:left="720"/>
        <w:textAlignment w:val="baseline"/>
        <w:rPr>
          <w:rFonts w:eastAsia="Times New Roman"/>
          <w:b/>
          <w:color w:val="000000"/>
          <w:u w:val="single"/>
        </w:rPr>
      </w:pPr>
      <w:r w:rsidRPr="004F3441">
        <w:rPr>
          <w:rFonts w:eastAsia="Times New Roman"/>
          <w:color w:val="000000"/>
        </w:rPr>
        <w:lastRenderedPageBreak/>
        <w:t xml:space="preserve">      </w:t>
      </w:r>
      <w:r w:rsidRPr="004F3441">
        <w:rPr>
          <w:rFonts w:eastAsia="Times New Roman"/>
          <w:b/>
          <w:color w:val="000000"/>
          <w:u w:val="single"/>
        </w:rPr>
        <w:t>Rate Class</w:t>
      </w:r>
      <w:r w:rsidRPr="004F3441">
        <w:rPr>
          <w:rFonts w:eastAsia="Times New Roman"/>
          <w:color w:val="000000"/>
        </w:rPr>
        <w:tab/>
        <w:t xml:space="preserve">        </w:t>
      </w:r>
      <w:r w:rsidRPr="004F3441">
        <w:rPr>
          <w:rFonts w:eastAsia="Times New Roman"/>
          <w:b/>
          <w:color w:val="000000"/>
          <w:u w:val="single"/>
        </w:rPr>
        <w:t xml:space="preserve">EECRF </w:t>
      </w:r>
    </w:p>
    <w:p w14:paraId="28138E3F" w14:textId="1CE46C7E" w:rsidR="00B2385E" w:rsidRPr="004F3441" w:rsidRDefault="00C769AE" w:rsidP="00B2385E">
      <w:pPr>
        <w:tabs>
          <w:tab w:val="left" w:pos="6480"/>
        </w:tabs>
        <w:spacing w:before="133" w:line="274" w:lineRule="exact"/>
        <w:ind w:left="720"/>
        <w:textAlignment w:val="baseline"/>
        <w:rPr>
          <w:rFonts w:eastAsia="Times New Roman"/>
          <w:color w:val="000000"/>
        </w:rPr>
      </w:pPr>
      <w:r>
        <w:rPr>
          <w:rFonts w:eastAsia="Times New Roman"/>
          <w:color w:val="000000"/>
        </w:rPr>
        <w:t xml:space="preserve">Residential </w:t>
      </w:r>
      <w:r w:rsidR="00977D65">
        <w:rPr>
          <w:rFonts w:eastAsia="Times New Roman"/>
          <w:color w:val="000000"/>
        </w:rPr>
        <w:t>Service</w:t>
      </w:r>
      <w:r w:rsidR="00977D65">
        <w:rPr>
          <w:rFonts w:eastAsia="Times New Roman"/>
          <w:color w:val="000000"/>
        </w:rPr>
        <w:tab/>
        <w:t>$ 0.000</w:t>
      </w:r>
      <w:r w:rsidR="00764E7B">
        <w:rPr>
          <w:rFonts w:eastAsia="Times New Roman"/>
          <w:color w:val="000000"/>
        </w:rPr>
        <w:t>778</w:t>
      </w:r>
      <w:r w:rsidR="00B2385E" w:rsidRPr="004F3441">
        <w:rPr>
          <w:rFonts w:eastAsia="Times New Roman"/>
          <w:color w:val="000000"/>
        </w:rPr>
        <w:t xml:space="preserve"> per kWh</w:t>
      </w:r>
    </w:p>
    <w:p w14:paraId="1144E0CE" w14:textId="0ABED7F6" w:rsidR="00B2385E" w:rsidRPr="004F3441" w:rsidRDefault="00977D65" w:rsidP="00B2385E">
      <w:pPr>
        <w:tabs>
          <w:tab w:val="left" w:pos="6480"/>
        </w:tabs>
        <w:spacing w:before="4" w:line="274" w:lineRule="exact"/>
        <w:ind w:left="720"/>
        <w:textAlignment w:val="baseline"/>
        <w:rPr>
          <w:rFonts w:eastAsia="Times New Roman"/>
          <w:color w:val="000000"/>
        </w:rPr>
      </w:pPr>
      <w:r>
        <w:rPr>
          <w:rFonts w:eastAsia="Times New Roman"/>
          <w:color w:val="000000"/>
        </w:rPr>
        <w:t>Small General Service</w:t>
      </w:r>
      <w:r>
        <w:rPr>
          <w:rFonts w:eastAsia="Times New Roman"/>
          <w:color w:val="000000"/>
        </w:rPr>
        <w:tab/>
        <w:t xml:space="preserve">$ </w:t>
      </w:r>
      <w:r w:rsidR="00764E7B">
        <w:rPr>
          <w:rFonts w:eastAsia="Times New Roman"/>
          <w:color w:val="000000"/>
        </w:rPr>
        <w:t>(</w:t>
      </w:r>
      <w:r>
        <w:rPr>
          <w:rFonts w:eastAsia="Times New Roman"/>
          <w:color w:val="000000"/>
        </w:rPr>
        <w:t>0.0001</w:t>
      </w:r>
      <w:r w:rsidR="00764E7B">
        <w:rPr>
          <w:rFonts w:eastAsia="Times New Roman"/>
          <w:color w:val="000000"/>
        </w:rPr>
        <w:t>50)</w:t>
      </w:r>
      <w:r w:rsidR="00B2385E" w:rsidRPr="004F3441">
        <w:rPr>
          <w:rFonts w:eastAsia="Times New Roman"/>
          <w:color w:val="000000"/>
        </w:rPr>
        <w:t xml:space="preserve"> per kWh</w:t>
      </w:r>
    </w:p>
    <w:p w14:paraId="1A70F11E" w14:textId="26E16E88" w:rsidR="00B2385E" w:rsidRPr="004F3441" w:rsidRDefault="00977D65" w:rsidP="00B2385E">
      <w:pPr>
        <w:tabs>
          <w:tab w:val="left" w:pos="6480"/>
        </w:tabs>
        <w:spacing w:before="8" w:line="274" w:lineRule="exact"/>
        <w:ind w:left="720"/>
        <w:textAlignment w:val="baseline"/>
        <w:rPr>
          <w:rFonts w:eastAsia="Times New Roman"/>
          <w:color w:val="000000"/>
        </w:rPr>
      </w:pPr>
      <w:r>
        <w:rPr>
          <w:rFonts w:eastAsia="Times New Roman"/>
          <w:color w:val="000000"/>
        </w:rPr>
        <w:t>General Service</w:t>
      </w:r>
      <w:r>
        <w:rPr>
          <w:rFonts w:eastAsia="Times New Roman"/>
          <w:color w:val="000000"/>
        </w:rPr>
        <w:tab/>
        <w:t>$ 0.000</w:t>
      </w:r>
      <w:r w:rsidR="00764E7B">
        <w:rPr>
          <w:rFonts w:eastAsia="Times New Roman"/>
          <w:color w:val="000000"/>
        </w:rPr>
        <w:t>457</w:t>
      </w:r>
      <w:r w:rsidR="00B2385E" w:rsidRPr="004F3441">
        <w:rPr>
          <w:rFonts w:eastAsia="Times New Roman"/>
          <w:color w:val="000000"/>
        </w:rPr>
        <w:t xml:space="preserve"> per kWh</w:t>
      </w:r>
    </w:p>
    <w:p w14:paraId="79DEBACD" w14:textId="10EE3444" w:rsidR="00B2385E" w:rsidRPr="004F3441" w:rsidRDefault="00977D65" w:rsidP="00B2385E">
      <w:pPr>
        <w:tabs>
          <w:tab w:val="left" w:pos="6480"/>
        </w:tabs>
        <w:spacing w:line="280" w:lineRule="exact"/>
        <w:ind w:left="720"/>
        <w:textAlignment w:val="baseline"/>
        <w:rPr>
          <w:rFonts w:eastAsia="Times New Roman"/>
          <w:color w:val="000000"/>
        </w:rPr>
      </w:pPr>
      <w:r>
        <w:rPr>
          <w:rFonts w:eastAsia="Times New Roman"/>
          <w:color w:val="000000"/>
        </w:rPr>
        <w:t>Large General Service</w:t>
      </w:r>
      <w:r>
        <w:rPr>
          <w:rFonts w:eastAsia="Times New Roman"/>
          <w:color w:val="000000"/>
        </w:rPr>
        <w:tab/>
        <w:t>$ 0.00</w:t>
      </w:r>
      <w:r w:rsidR="00764E7B">
        <w:rPr>
          <w:rFonts w:eastAsia="Times New Roman"/>
          <w:color w:val="000000"/>
        </w:rPr>
        <w:t>1268</w:t>
      </w:r>
      <w:r w:rsidR="00B2385E" w:rsidRPr="004F3441">
        <w:rPr>
          <w:rFonts w:eastAsia="Times New Roman"/>
          <w:color w:val="000000"/>
        </w:rPr>
        <w:t xml:space="preserve"> per kWh</w:t>
      </w:r>
    </w:p>
    <w:p w14:paraId="70B13F6F" w14:textId="77777777" w:rsidR="00B2385E" w:rsidRPr="004F3441" w:rsidRDefault="00B2385E" w:rsidP="00B2385E">
      <w:pPr>
        <w:tabs>
          <w:tab w:val="left" w:pos="6480"/>
        </w:tabs>
        <w:spacing w:line="280" w:lineRule="exact"/>
        <w:ind w:left="720"/>
        <w:textAlignment w:val="baseline"/>
        <w:rPr>
          <w:rFonts w:eastAsia="Times New Roman"/>
          <w:color w:val="000000"/>
        </w:rPr>
      </w:pPr>
      <w:r w:rsidRPr="004F3441">
        <w:rPr>
          <w:rFonts w:eastAsia="Times New Roman"/>
          <w:color w:val="000000"/>
        </w:rPr>
        <w:t>Large Industrial Power Service</w:t>
      </w:r>
    </w:p>
    <w:p w14:paraId="5ADB73FE" w14:textId="77777777" w:rsidR="00B2385E" w:rsidRPr="004F3441" w:rsidRDefault="00B2385E" w:rsidP="00B2385E">
      <w:pPr>
        <w:tabs>
          <w:tab w:val="left" w:pos="6480"/>
        </w:tabs>
        <w:spacing w:line="278" w:lineRule="exact"/>
        <w:ind w:left="990" w:hanging="270"/>
        <w:textAlignment w:val="baseline"/>
        <w:rPr>
          <w:rFonts w:eastAsia="Times New Roman"/>
          <w:color w:val="000000"/>
        </w:rPr>
      </w:pPr>
      <w:r w:rsidRPr="004F3441">
        <w:rPr>
          <w:rFonts w:eastAsia="Times New Roman"/>
          <w:color w:val="000000"/>
        </w:rPr>
        <w:t xml:space="preserve">   (Industrial Transmission Customers)</w:t>
      </w:r>
      <w:r w:rsidRPr="004F3441">
        <w:rPr>
          <w:rFonts w:eastAsia="Times New Roman"/>
          <w:color w:val="000000"/>
        </w:rPr>
        <w:tab/>
        <w:t>$ 0.000000 per kWh</w:t>
      </w:r>
    </w:p>
    <w:p w14:paraId="2FFDBC0E" w14:textId="459E77D3" w:rsidR="00B2385E" w:rsidRPr="004F3441" w:rsidRDefault="00B2385E" w:rsidP="00B2385E">
      <w:pPr>
        <w:tabs>
          <w:tab w:val="left" w:pos="6390"/>
        </w:tabs>
        <w:spacing w:line="278" w:lineRule="exact"/>
        <w:ind w:left="720"/>
        <w:textAlignment w:val="baseline"/>
        <w:rPr>
          <w:rFonts w:eastAsia="Times New Roman"/>
          <w:color w:val="000000"/>
        </w:rPr>
      </w:pPr>
      <w:r w:rsidRPr="004F3441">
        <w:rPr>
          <w:rFonts w:eastAsia="Times New Roman"/>
          <w:color w:val="000000"/>
        </w:rPr>
        <w:t xml:space="preserve">   (Other than Industrial Transmission </w:t>
      </w:r>
      <w:proofErr w:type="gramStart"/>
      <w:r w:rsidRPr="004F3441">
        <w:rPr>
          <w:rFonts w:eastAsia="Times New Roman"/>
          <w:color w:val="000000"/>
        </w:rPr>
        <w:t>Cust</w:t>
      </w:r>
      <w:r w:rsidR="00977D65">
        <w:rPr>
          <w:rFonts w:eastAsia="Times New Roman"/>
          <w:color w:val="000000"/>
        </w:rPr>
        <w:t xml:space="preserve">omers)   </w:t>
      </w:r>
      <w:proofErr w:type="gramEnd"/>
      <w:r w:rsidR="00977D65">
        <w:rPr>
          <w:rFonts w:eastAsia="Times New Roman"/>
          <w:color w:val="000000"/>
        </w:rPr>
        <w:t xml:space="preserve">             $ </w:t>
      </w:r>
      <w:r w:rsidR="00764E7B">
        <w:rPr>
          <w:rFonts w:eastAsia="Times New Roman"/>
          <w:color w:val="000000"/>
        </w:rPr>
        <w:t>(</w:t>
      </w:r>
      <w:r w:rsidR="00977D65">
        <w:rPr>
          <w:rFonts w:eastAsia="Times New Roman"/>
          <w:color w:val="000000"/>
        </w:rPr>
        <w:t>0.000</w:t>
      </w:r>
      <w:r w:rsidR="00764E7B">
        <w:rPr>
          <w:rFonts w:eastAsia="Times New Roman"/>
          <w:color w:val="000000"/>
        </w:rPr>
        <w:t>217)</w:t>
      </w:r>
      <w:r w:rsidR="00F65A32">
        <w:rPr>
          <w:rFonts w:eastAsia="Times New Roman"/>
          <w:color w:val="000000"/>
        </w:rPr>
        <w:t xml:space="preserve"> </w:t>
      </w:r>
      <w:r w:rsidRPr="004F3441">
        <w:rPr>
          <w:rFonts w:eastAsia="Times New Roman"/>
          <w:color w:val="000000"/>
        </w:rPr>
        <w:t>per kWh</w:t>
      </w:r>
    </w:p>
    <w:p w14:paraId="34242454" w14:textId="06E6A870" w:rsidR="00B2385E" w:rsidRPr="004F3441" w:rsidRDefault="00977D65" w:rsidP="00B2385E">
      <w:pPr>
        <w:tabs>
          <w:tab w:val="left" w:pos="6480"/>
        </w:tabs>
        <w:spacing w:before="1" w:line="274" w:lineRule="exact"/>
        <w:ind w:left="720"/>
        <w:textAlignment w:val="baseline"/>
        <w:rPr>
          <w:rFonts w:eastAsia="Times New Roman"/>
          <w:color w:val="000000"/>
        </w:rPr>
      </w:pPr>
      <w:r>
        <w:rPr>
          <w:rFonts w:eastAsia="Times New Roman"/>
          <w:color w:val="000000"/>
        </w:rPr>
        <w:t>Lighting</w:t>
      </w:r>
      <w:r>
        <w:rPr>
          <w:rFonts w:eastAsia="Times New Roman"/>
          <w:color w:val="000000"/>
        </w:rPr>
        <w:tab/>
        <w:t xml:space="preserve">$ </w:t>
      </w:r>
      <w:r w:rsidR="00764E7B">
        <w:rPr>
          <w:rFonts w:eastAsia="Times New Roman"/>
          <w:color w:val="000000"/>
        </w:rPr>
        <w:t>(</w:t>
      </w:r>
      <w:r>
        <w:rPr>
          <w:rFonts w:eastAsia="Times New Roman"/>
          <w:color w:val="000000"/>
        </w:rPr>
        <w:t>0.000002</w:t>
      </w:r>
      <w:r w:rsidR="00764E7B">
        <w:rPr>
          <w:rFonts w:eastAsia="Times New Roman"/>
          <w:color w:val="000000"/>
        </w:rPr>
        <w:t>)</w:t>
      </w:r>
      <w:r w:rsidR="00B2385E" w:rsidRPr="004F3441">
        <w:rPr>
          <w:rFonts w:eastAsia="Times New Roman"/>
          <w:color w:val="000000"/>
        </w:rPr>
        <w:t xml:space="preserve"> per kWh</w:t>
      </w:r>
    </w:p>
    <w:p w14:paraId="1A1CA97A" w14:textId="2F640181" w:rsidR="000157B3" w:rsidRDefault="000157B3" w:rsidP="00B2385E">
      <w:pPr>
        <w:pStyle w:val="FOFNumbered"/>
        <w:spacing w:before="360"/>
      </w:pPr>
      <w:r>
        <w:t xml:space="preserve">On August </w:t>
      </w:r>
      <w:r w:rsidR="001514C8">
        <w:t>14</w:t>
      </w:r>
      <w:r>
        <w:t xml:space="preserve">, 2019, ETI filed an unopposed motion to admit evidence and remand the proceeding to the Commission in accordance with the </w:t>
      </w:r>
      <w:r w:rsidR="005906D7">
        <w:t>A</w:t>
      </w:r>
      <w:r>
        <w:t xml:space="preserve">greement. </w:t>
      </w:r>
    </w:p>
    <w:p w14:paraId="57BBEE1F" w14:textId="0D2B771C" w:rsidR="000157B3" w:rsidRDefault="000157B3" w:rsidP="00B2385E">
      <w:pPr>
        <w:pStyle w:val="FOFNumbered"/>
        <w:spacing w:before="360"/>
      </w:pPr>
      <w:r>
        <w:t>In SOAH Order No. __ issued on August __, 2019, the SOAH ALJ granted ETI’s motion to admit evidence and remand the docket to the Commission. The SOAH ALJ admitted the application, including the direct testimon</w:t>
      </w:r>
      <w:r w:rsidR="00DE3881">
        <w:t>ies</w:t>
      </w:r>
      <w:r>
        <w:t xml:space="preserve"> of John K. Carson and Jessica C. Landry and affidavits of Wajiha Rizvi and Daniel J. Lawton, filed on May 1, 2019; ETI’s proof of notice, filed by ETI on May </w:t>
      </w:r>
      <w:r w:rsidR="00FD2F15">
        <w:t xml:space="preserve">15, 2019; the Company’s Errata No. 1, filed on May 16, 2019; the Company’s Errata No. 2 filed on July 17, 2019; the Settlement Testimony of John K. Carson filed on August </w:t>
      </w:r>
      <w:r w:rsidR="001514C8">
        <w:t>14</w:t>
      </w:r>
      <w:r w:rsidR="00FD2F15">
        <w:t xml:space="preserve">, 2019; the affidavits of </w:t>
      </w:r>
      <w:r w:rsidR="001514C8">
        <w:t xml:space="preserve">Therese Harris, Brian Murphy, and Ruth Star, with </w:t>
      </w:r>
      <w:r w:rsidR="00FD2F15">
        <w:t xml:space="preserve">Commission Staff in Support of Settlement filed on August </w:t>
      </w:r>
      <w:r w:rsidR="001514C8">
        <w:t>14</w:t>
      </w:r>
      <w:r w:rsidR="00FD2F15">
        <w:t xml:space="preserve">, 2019; and the Agreement filed on August </w:t>
      </w:r>
      <w:r w:rsidR="001514C8">
        <w:t>14,</w:t>
      </w:r>
      <w:r w:rsidR="00FD2F15">
        <w:t xml:space="preserve"> 2019. </w:t>
      </w:r>
    </w:p>
    <w:p w14:paraId="2BBFDD7B" w14:textId="5E323E53" w:rsidR="008D4CED" w:rsidRPr="008D4CED" w:rsidRDefault="008D4CED" w:rsidP="008D4CED">
      <w:pPr>
        <w:pStyle w:val="FOFNumbered"/>
        <w:numPr>
          <w:ilvl w:val="0"/>
          <w:numId w:val="0"/>
        </w:numPr>
        <w:spacing w:before="360"/>
        <w:rPr>
          <w:i/>
          <w:u w:val="single"/>
        </w:rPr>
      </w:pPr>
      <w:r w:rsidRPr="006E5170">
        <w:rPr>
          <w:b/>
          <w:i/>
          <w:u w:val="single"/>
        </w:rPr>
        <w:t>Ele</w:t>
      </w:r>
      <w:r w:rsidRPr="008D4CED">
        <w:rPr>
          <w:b/>
          <w:i/>
          <w:u w:val="single"/>
        </w:rPr>
        <w:t>ments of Recovery and Coordination with Base Rate Recovery</w:t>
      </w:r>
      <w:r w:rsidRPr="008D4CED">
        <w:rPr>
          <w:i/>
          <w:u w:val="single"/>
        </w:rPr>
        <w:t xml:space="preserve"> 16 TAC §§ 25.182(d)(1)</w:t>
      </w:r>
    </w:p>
    <w:p w14:paraId="7E943FEC" w14:textId="7B60CEC4" w:rsidR="00A15335" w:rsidRDefault="008251FE" w:rsidP="008D4CED">
      <w:pPr>
        <w:pStyle w:val="FOFNumbered"/>
        <w:shd w:val="clear" w:color="auto" w:fill="FFFFFF" w:themeFill="background1"/>
      </w:pPr>
      <w:r>
        <w:t>ETI’s EECRF is calculated to recover ETI’s forecasted annual energy</w:t>
      </w:r>
      <w:r w:rsidR="00A018F4">
        <w:t xml:space="preserve"> </w:t>
      </w:r>
      <w:r>
        <w:t>efficiency expenditures, municipal and utility EECRF proceeding expenses from immediately preceding EECRF dockets, a performance bonus, EM&amp;V costs allocated to ETI by the Commission as allowed by 16 TAC § 25.18</w:t>
      </w:r>
      <w:r w:rsidR="00D07C69">
        <w:t>2</w:t>
      </w:r>
      <w:r w:rsidR="00A15335">
        <w:t>(d)(1)(A), and a refund of the preceding year’s over-recovery.</w:t>
      </w:r>
    </w:p>
    <w:p w14:paraId="17E57634" w14:textId="6C14A744" w:rsidR="00A15335" w:rsidRDefault="00A15335" w:rsidP="008D4CED">
      <w:pPr>
        <w:pStyle w:val="FOFNumbered"/>
        <w:shd w:val="clear" w:color="auto" w:fill="FFFFFF" w:themeFill="background1"/>
      </w:pPr>
      <w:r>
        <w:t>ETI do</w:t>
      </w:r>
      <w:r w:rsidR="00372515">
        <w:t>e</w:t>
      </w:r>
      <w:r>
        <w:t>s not recover any energy</w:t>
      </w:r>
      <w:r w:rsidR="00A018F4">
        <w:t xml:space="preserve"> </w:t>
      </w:r>
      <w:r>
        <w:t>efficiency costs in its base rates.</w:t>
      </w:r>
    </w:p>
    <w:p w14:paraId="00BFD9FC" w14:textId="4BE93A33" w:rsidR="00A15335" w:rsidRDefault="00A15335" w:rsidP="00A15335">
      <w:pPr>
        <w:pStyle w:val="FOFNumbered"/>
        <w:shd w:val="clear" w:color="auto" w:fill="FFFFFF" w:themeFill="background1"/>
      </w:pPr>
      <w:r>
        <w:t xml:space="preserve">ETI’s EECRF is designed to provide only for energy charges for residential and </w:t>
      </w:r>
      <w:r w:rsidR="00F32C47">
        <w:t>non-residential</w:t>
      </w:r>
      <w:r>
        <w:t xml:space="preserve"> rate classes in compliance in compliance with 16 TAC § 25.182(d)(6).</w:t>
      </w:r>
    </w:p>
    <w:p w14:paraId="25FAA133" w14:textId="0EB0B752" w:rsidR="00A15335" w:rsidRPr="005F2830" w:rsidRDefault="00A15335" w:rsidP="00A15335">
      <w:pPr>
        <w:pStyle w:val="FOFNumbered"/>
        <w:numPr>
          <w:ilvl w:val="0"/>
          <w:numId w:val="0"/>
        </w:numPr>
        <w:shd w:val="clear" w:color="auto" w:fill="FFFFFF" w:themeFill="background1"/>
      </w:pPr>
      <w:r w:rsidRPr="005F2830">
        <w:rPr>
          <w:b/>
          <w:i/>
          <w:u w:val="single"/>
        </w:rPr>
        <w:lastRenderedPageBreak/>
        <w:t>EECRF Cost Caps</w:t>
      </w:r>
      <w:r w:rsidRPr="005F2830">
        <w:rPr>
          <w:i/>
          <w:u w:val="single"/>
        </w:rPr>
        <w:t xml:space="preserve"> 16 TAC §</w:t>
      </w:r>
      <w:r w:rsidR="005F2830" w:rsidRPr="005F2830">
        <w:rPr>
          <w:i/>
          <w:u w:val="single"/>
        </w:rPr>
        <w:t>§</w:t>
      </w:r>
      <w:r w:rsidRPr="005F2830">
        <w:rPr>
          <w:i/>
          <w:u w:val="single"/>
        </w:rPr>
        <w:t xml:space="preserve"> 25.182(d)(7)</w:t>
      </w:r>
      <w:r w:rsidR="005F2830" w:rsidRPr="005F2830">
        <w:rPr>
          <w:i/>
          <w:u w:val="single"/>
        </w:rPr>
        <w:t xml:space="preserve"> and (g)</w:t>
      </w:r>
    </w:p>
    <w:p w14:paraId="30182B73" w14:textId="4D6AA040" w:rsidR="005F2830" w:rsidRPr="00787472" w:rsidRDefault="005F2830" w:rsidP="008D4CED">
      <w:pPr>
        <w:pStyle w:val="FOFNumbered"/>
        <w:shd w:val="clear" w:color="auto" w:fill="FFFFFF" w:themeFill="background1"/>
      </w:pPr>
      <w:r w:rsidRPr="00787472">
        <w:t>ETI’s 2018 costs for residential customers was $</w:t>
      </w:r>
      <w:r w:rsidR="0002741C" w:rsidRPr="00787472">
        <w:t>0.000961</w:t>
      </w:r>
      <w:r w:rsidRPr="00787472">
        <w:t xml:space="preserve"> per kWh, which is below the </w:t>
      </w:r>
      <w:r w:rsidR="00D07C69" w:rsidRPr="00787472">
        <w:t>2018</w:t>
      </w:r>
      <w:r w:rsidRPr="00787472">
        <w:t xml:space="preserve"> cost cap of </w:t>
      </w:r>
      <w:r w:rsidR="00387229" w:rsidRPr="00787472">
        <w:t xml:space="preserve">$0.001266 </w:t>
      </w:r>
      <w:r w:rsidRPr="00787472">
        <w:t xml:space="preserve">per kWh. </w:t>
      </w:r>
      <w:r w:rsidR="008251FE" w:rsidRPr="00787472">
        <w:t xml:space="preserve"> </w:t>
      </w:r>
      <w:r w:rsidRPr="00787472">
        <w:t xml:space="preserve">The costs for </w:t>
      </w:r>
      <w:r w:rsidR="00065BA2" w:rsidRPr="00787472">
        <w:t>non-residential</w:t>
      </w:r>
      <w:r w:rsidRPr="00787472">
        <w:t xml:space="preserve"> customers was </w:t>
      </w:r>
      <w:r w:rsidR="00CB3709" w:rsidRPr="00787472">
        <w:t xml:space="preserve">$0.000577 </w:t>
      </w:r>
      <w:r w:rsidRPr="00787472">
        <w:t xml:space="preserve">per kWh, which is below the </w:t>
      </w:r>
      <w:r w:rsidR="00D07C69" w:rsidRPr="00787472">
        <w:t>2018</w:t>
      </w:r>
      <w:r w:rsidRPr="00787472">
        <w:t xml:space="preserve"> cost cap of </w:t>
      </w:r>
      <w:r w:rsidR="00387229" w:rsidRPr="00787472">
        <w:t xml:space="preserve">$0.000791 </w:t>
      </w:r>
      <w:r w:rsidRPr="00787472">
        <w:t>per kWh.</w:t>
      </w:r>
    </w:p>
    <w:p w14:paraId="0657453B" w14:textId="7EA93C83" w:rsidR="005F2830" w:rsidRPr="00675E63" w:rsidRDefault="005F2830" w:rsidP="008D4CED">
      <w:pPr>
        <w:pStyle w:val="FOFNumbered"/>
        <w:shd w:val="clear" w:color="auto" w:fill="FFFFFF" w:themeFill="background1"/>
      </w:pPr>
      <w:r>
        <w:t xml:space="preserve">To </w:t>
      </w:r>
      <w:r w:rsidR="00292A2A">
        <w:t>calculate</w:t>
      </w:r>
      <w:r>
        <w:t xml:space="preserve"> its 2020 cost caps, ETI </w:t>
      </w:r>
      <w:r w:rsidRPr="00A77DA3">
        <w:t xml:space="preserve">applied a </w:t>
      </w:r>
      <w:r w:rsidR="00387229" w:rsidRPr="00A77DA3">
        <w:t xml:space="preserve">2.224000% </w:t>
      </w:r>
      <w:r w:rsidRPr="00A77DA3">
        <w:t xml:space="preserve">consumer price index adjustment to the base cap of </w:t>
      </w:r>
      <w:r w:rsidR="00387229" w:rsidRPr="00A77DA3">
        <w:t xml:space="preserve">$0.001303 </w:t>
      </w:r>
      <w:r w:rsidRPr="00A77DA3">
        <w:t xml:space="preserve">per kWh for the residential class and </w:t>
      </w:r>
      <w:r w:rsidR="00387229" w:rsidRPr="00A77DA3">
        <w:t xml:space="preserve">$0.00815 </w:t>
      </w:r>
      <w:r w:rsidRPr="00A77DA3">
        <w:t xml:space="preserve">per kWh for the commercial classes. ETI determined its EECRF cost caps for the 2020 program year to be </w:t>
      </w:r>
      <w:r w:rsidR="00387229" w:rsidRPr="00A77DA3">
        <w:t xml:space="preserve">$0.001332 </w:t>
      </w:r>
      <w:r w:rsidRPr="00A77DA3">
        <w:t>per kWh</w:t>
      </w:r>
      <w:r w:rsidR="00C17188" w:rsidRPr="00A77DA3">
        <w:t xml:space="preserve"> for the residential class and </w:t>
      </w:r>
      <w:r w:rsidR="00387229" w:rsidRPr="00A77DA3">
        <w:t xml:space="preserve">$0.000833 </w:t>
      </w:r>
      <w:r w:rsidR="00C17188" w:rsidRPr="00A77DA3">
        <w:t>per kWh for commercial customers.</w:t>
      </w:r>
    </w:p>
    <w:p w14:paraId="6E28E23F" w14:textId="6BD55474" w:rsidR="008D4CED" w:rsidRPr="00827CDE" w:rsidRDefault="00C17188" w:rsidP="008D4CED">
      <w:pPr>
        <w:pStyle w:val="FOFNumbered"/>
        <w:spacing w:after="240"/>
      </w:pPr>
      <w:r w:rsidRPr="00A25972">
        <w:t xml:space="preserve">ETI’s 2020 EECRF tariff rider will impose a charge of </w:t>
      </w:r>
      <w:r w:rsidRPr="00A77DA3">
        <w:t>$0.000778 per</w:t>
      </w:r>
      <w:r>
        <w:t xml:space="preserve"> kWh on residential customers and a group rate of $</w:t>
      </w:r>
      <w:r w:rsidR="00065BA2">
        <w:t>0.000558</w:t>
      </w:r>
      <w:r>
        <w:t xml:space="preserve"> per kWh for </w:t>
      </w:r>
      <w:r w:rsidR="00065BA2">
        <w:t>non-residential</w:t>
      </w:r>
      <w:r>
        <w:t xml:space="preserve"> classes.</w:t>
      </w:r>
    </w:p>
    <w:p w14:paraId="317C8672" w14:textId="50268F12" w:rsidR="008D4CED" w:rsidRDefault="00C17188" w:rsidP="008D4CED">
      <w:pPr>
        <w:pStyle w:val="Heading7"/>
        <w:numPr>
          <w:ilvl w:val="6"/>
          <w:numId w:val="2"/>
        </w:numPr>
        <w:rPr>
          <w:b w:val="0"/>
          <w:i w:val="0"/>
        </w:rPr>
      </w:pPr>
      <w:r>
        <w:rPr>
          <w:rFonts w:eastAsia="Times New Roman"/>
        </w:rPr>
        <w:t>Over-or Under-Recovery</w:t>
      </w:r>
      <w:r w:rsidRPr="00C17188">
        <w:rPr>
          <w:rFonts w:eastAsia="Times New Roman"/>
          <w:b w:val="0"/>
        </w:rPr>
        <w:t xml:space="preserve"> 16 TAC </w:t>
      </w:r>
      <w:r w:rsidRPr="00C17188">
        <w:rPr>
          <w:b w:val="0"/>
          <w:i w:val="0"/>
        </w:rPr>
        <w:t>§ 25.182(d)(2)</w:t>
      </w:r>
    </w:p>
    <w:p w14:paraId="724B7C14" w14:textId="5BCFAA7E" w:rsidR="00C17188" w:rsidRDefault="00C17188" w:rsidP="00C17188">
      <w:pPr>
        <w:pStyle w:val="FOFNumbered"/>
      </w:pPr>
      <w:r>
        <w:rPr>
          <w:rFonts w:cstheme="majorBidi"/>
          <w:iCs/>
          <w:snapToGrid/>
          <w:szCs w:val="24"/>
        </w:rPr>
        <w:t xml:space="preserve">ETI requests to refund to each rate class the difference between the actual EECRF revenues and actual costs for that class that complies with 16 TAC </w:t>
      </w:r>
      <w:r w:rsidRPr="00C17188">
        <w:t>§</w:t>
      </w:r>
      <w:r>
        <w:t xml:space="preserve"> 25.182(d)(2), which results in a net over-recovery. </w:t>
      </w:r>
    </w:p>
    <w:p w14:paraId="48CC84A8" w14:textId="74FE232A" w:rsidR="00C17188" w:rsidRPr="00C17188" w:rsidRDefault="00C17188" w:rsidP="00C17188">
      <w:pPr>
        <w:pStyle w:val="FOFNumbered"/>
      </w:pPr>
      <w:r>
        <w:rPr>
          <w:rFonts w:cstheme="majorBidi"/>
          <w:iCs/>
          <w:snapToGrid/>
          <w:szCs w:val="24"/>
        </w:rPr>
        <w:t xml:space="preserve">ETI accurately calculated the </w:t>
      </w:r>
      <w:r w:rsidRPr="00121370">
        <w:rPr>
          <w:szCs w:val="24"/>
        </w:rPr>
        <w:t>$1,386,</w:t>
      </w:r>
      <w:r w:rsidR="00387229" w:rsidRPr="00121370">
        <w:rPr>
          <w:szCs w:val="24"/>
        </w:rPr>
        <w:t>6</w:t>
      </w:r>
      <w:r w:rsidR="00387229">
        <w:rPr>
          <w:szCs w:val="24"/>
        </w:rPr>
        <w:t>1</w:t>
      </w:r>
      <w:r w:rsidR="00387229" w:rsidRPr="00121370">
        <w:rPr>
          <w:szCs w:val="24"/>
        </w:rPr>
        <w:t>0</w:t>
      </w:r>
      <w:r w:rsidR="00387229">
        <w:rPr>
          <w:rFonts w:cstheme="majorBidi"/>
          <w:iCs/>
          <w:snapToGrid/>
          <w:szCs w:val="24"/>
        </w:rPr>
        <w:t xml:space="preserve"> </w:t>
      </w:r>
      <w:r>
        <w:rPr>
          <w:rFonts w:cstheme="majorBidi"/>
          <w:iCs/>
          <w:snapToGrid/>
          <w:szCs w:val="24"/>
        </w:rPr>
        <w:t>over-recovery of 2018 program costs.</w:t>
      </w:r>
    </w:p>
    <w:p w14:paraId="63A57BE0" w14:textId="578E6FA6" w:rsidR="00C17188" w:rsidRPr="00E0463C" w:rsidRDefault="00C17188" w:rsidP="00C17188">
      <w:pPr>
        <w:pStyle w:val="FOFNumbered"/>
        <w:numPr>
          <w:ilvl w:val="0"/>
          <w:numId w:val="0"/>
        </w:numPr>
        <w:rPr>
          <w:i/>
          <w:u w:val="single"/>
        </w:rPr>
      </w:pPr>
      <w:r w:rsidRPr="00E0463C">
        <w:rPr>
          <w:b/>
          <w:i/>
          <w:u w:val="single"/>
        </w:rPr>
        <w:t xml:space="preserve">Proceeding Expenses </w:t>
      </w:r>
      <w:r w:rsidR="00E0463C" w:rsidRPr="00E0463C">
        <w:rPr>
          <w:i/>
          <w:u w:val="single"/>
        </w:rPr>
        <w:t>16 TAC § 25.182(d)(3)</w:t>
      </w:r>
    </w:p>
    <w:p w14:paraId="3B50E67F" w14:textId="70661FC9" w:rsidR="00341227" w:rsidRDefault="006F19F9" w:rsidP="008D4CED">
      <w:pPr>
        <w:pStyle w:val="FOFNumbered"/>
      </w:pPr>
      <w:r>
        <w:t xml:space="preserve">ETI filed the affidavit of Wajiha Rizvi, Senior Counsel for Entergy Services, LLC. Ms. Rizvi relied upon the factors required by 16 TAC </w:t>
      </w:r>
      <w:r w:rsidRPr="006F19F9">
        <w:t>§</w:t>
      </w:r>
      <w:r>
        <w:t xml:space="preserve"> 25.245 in reaching her opinion that ETI’s non-affiliate rate </w:t>
      </w:r>
      <w:r w:rsidR="00341227">
        <w:t xml:space="preserve">case expenses incurred in ETI’s 2018 EECRF proceeding, Docket No. 48333, were reasonable. Ms. Rizvi relied upon the factors required by 16 TAC </w:t>
      </w:r>
      <w:r w:rsidR="00341227" w:rsidRPr="006F19F9">
        <w:t>§</w:t>
      </w:r>
      <w:r w:rsidR="00341227">
        <w:t xml:space="preserve"> 25.245 in reaching </w:t>
      </w:r>
      <w:r w:rsidR="00C77140">
        <w:t xml:space="preserve">her opinion </w:t>
      </w:r>
      <w:r w:rsidR="00341227">
        <w:t>that ETI’s external legal counsel’s fees</w:t>
      </w:r>
      <w:r w:rsidR="000712A2">
        <w:t xml:space="preserve"> of $61,408.14 and UPS delivery charges of $142.142 </w:t>
      </w:r>
      <w:r w:rsidR="00341227">
        <w:t>incurred in ETI’s 2018 EECRF proceeding, Docket No. 48333, were reasonable.</w:t>
      </w:r>
    </w:p>
    <w:p w14:paraId="5DA024F0" w14:textId="5A677C78" w:rsidR="006F19F9" w:rsidRDefault="00341227" w:rsidP="008D4CED">
      <w:pPr>
        <w:pStyle w:val="FOFNumbered"/>
      </w:pPr>
      <w:r>
        <w:t xml:space="preserve">ETI filed the direct testimony of Jessica C. </w:t>
      </w:r>
      <w:r w:rsidR="000853C2">
        <w:t xml:space="preserve">Landry stating that the activities of Entergy Services, LLC </w:t>
      </w:r>
      <w:r w:rsidR="00F32C47">
        <w:t>c</w:t>
      </w:r>
      <w:r w:rsidR="000853C2">
        <w:t xml:space="preserve">harged to ETI were for legal and regulatory services </w:t>
      </w:r>
      <w:r w:rsidR="00F32C47">
        <w:t>in connection with ETI’s 2018 EECRF proceeding.</w:t>
      </w:r>
      <w:r w:rsidR="000853C2">
        <w:t xml:space="preserve"> Ms. Landry opined that the charges in the amount of </w:t>
      </w:r>
      <w:r w:rsidR="000853C2">
        <w:lastRenderedPageBreak/>
        <w:t>$</w:t>
      </w:r>
      <w:r w:rsidR="00686B29">
        <w:t>36,643</w:t>
      </w:r>
      <w:r w:rsidR="000853C2">
        <w:t xml:space="preserve"> under project code F3PPEECRF3 were for rate case expenses in ETI’s 2018 EECRF proceeding, Docket No. 48333, and were reasonable and necessary. </w:t>
      </w:r>
      <w:r>
        <w:t xml:space="preserve"> </w:t>
      </w:r>
    </w:p>
    <w:p w14:paraId="5E3C6A6D" w14:textId="2221B57A" w:rsidR="00686B29" w:rsidRDefault="00686B29" w:rsidP="008D4CED">
      <w:pPr>
        <w:pStyle w:val="FOFNumbered"/>
      </w:pPr>
      <w:r>
        <w:t xml:space="preserve">Cities filed the direct testimony of Daniel J. Lawton. Mr. Lawton opined that Cities’ attorney’s fees and expenses of </w:t>
      </w:r>
      <w:r w:rsidR="00C7078A">
        <w:t xml:space="preserve">$11,273 incurred in ETI’s 2018 EECRF proceeding, Docket No. 48333, were reasonable. </w:t>
      </w:r>
    </w:p>
    <w:p w14:paraId="023BBE99" w14:textId="00D56782" w:rsidR="00C7078A" w:rsidRPr="00C7078A" w:rsidRDefault="00C7078A" w:rsidP="00C7078A">
      <w:pPr>
        <w:pStyle w:val="FOFNumbered"/>
        <w:numPr>
          <w:ilvl w:val="0"/>
          <w:numId w:val="0"/>
        </w:numPr>
        <w:rPr>
          <w:b/>
          <w:i/>
          <w:u w:val="single"/>
        </w:rPr>
      </w:pPr>
      <w:r w:rsidRPr="00C7078A">
        <w:rPr>
          <w:b/>
          <w:i/>
          <w:u w:val="single"/>
        </w:rPr>
        <w:t xml:space="preserve">Performance Bonus Calculations </w:t>
      </w:r>
      <w:r w:rsidRPr="00C7078A">
        <w:rPr>
          <w:i/>
          <w:u w:val="single"/>
        </w:rPr>
        <w:t>16 TAC §§ 25.181(f) and 25.182(d)(</w:t>
      </w:r>
      <w:r>
        <w:rPr>
          <w:i/>
          <w:u w:val="single"/>
        </w:rPr>
        <w:t>e</w:t>
      </w:r>
      <w:r w:rsidRPr="00C7078A">
        <w:rPr>
          <w:i/>
          <w:u w:val="single"/>
        </w:rPr>
        <w:t>)</w:t>
      </w:r>
    </w:p>
    <w:p w14:paraId="6D19349E" w14:textId="0E929C68" w:rsidR="00C7078A" w:rsidRDefault="00C7078A" w:rsidP="008D4CED">
      <w:pPr>
        <w:pStyle w:val="FOFNumbered"/>
      </w:pPr>
      <w:r>
        <w:t xml:space="preserve">In 2018, ETI achieved </w:t>
      </w:r>
      <w:r w:rsidR="007F58CF" w:rsidRPr="00A77DA3">
        <w:t xml:space="preserve">19,665 </w:t>
      </w:r>
      <w:r w:rsidRPr="00A77DA3">
        <w:t xml:space="preserve">kW in demand savings and </w:t>
      </w:r>
      <w:r w:rsidR="007F58CF" w:rsidRPr="00A77DA3">
        <w:t xml:space="preserve">48,099,849 </w:t>
      </w:r>
      <w:r w:rsidRPr="00A77DA3">
        <w:t xml:space="preserve">kWh in energy savings. ETI’s demand reduction goal was </w:t>
      </w:r>
      <w:r w:rsidR="007F58CF" w:rsidRPr="00A77DA3">
        <w:t xml:space="preserve">15,500 </w:t>
      </w:r>
      <w:r w:rsidRPr="00A77DA3">
        <w:t xml:space="preserve">kW and its energy savings goal </w:t>
      </w:r>
      <w:proofErr w:type="gramStart"/>
      <w:r w:rsidRPr="00A77DA3">
        <w:t>was</w:t>
      </w:r>
      <w:proofErr w:type="gramEnd"/>
      <w:r w:rsidRPr="00A77DA3">
        <w:t xml:space="preserve"> </w:t>
      </w:r>
      <w:r w:rsidR="003C3538" w:rsidRPr="00A77DA3">
        <w:t xml:space="preserve">27,156,000 </w:t>
      </w:r>
      <w:r w:rsidRPr="00A77DA3">
        <w:t xml:space="preserve">kWh. ETI achieved </w:t>
      </w:r>
      <w:r w:rsidR="003C3538" w:rsidRPr="00A77DA3">
        <w:t xml:space="preserve">127% </w:t>
      </w:r>
      <w:r w:rsidRPr="00A77DA3">
        <w:t xml:space="preserve">of its demand reduction goal and </w:t>
      </w:r>
      <w:r w:rsidR="003C3538" w:rsidRPr="00A77DA3">
        <w:t xml:space="preserve">177% </w:t>
      </w:r>
      <w:r w:rsidRPr="00A77DA3">
        <w:t>of its energy savings goal, qualifying it for a performance</w:t>
      </w:r>
      <w:r>
        <w:t xml:space="preserve"> bonus as calculated under </w:t>
      </w:r>
      <w:r w:rsidR="00087692">
        <w:t>16 TAC § 25.18</w:t>
      </w:r>
      <w:r w:rsidR="00AB2175">
        <w:t>2</w:t>
      </w:r>
      <w:r w:rsidR="00087692">
        <w:t>(e).</w:t>
      </w:r>
    </w:p>
    <w:p w14:paraId="08B66726" w14:textId="00A90E16" w:rsidR="00087692" w:rsidRPr="00A77DA3" w:rsidRDefault="00087692" w:rsidP="008D4CED">
      <w:pPr>
        <w:pStyle w:val="FOFNumbered"/>
      </w:pPr>
      <w:r>
        <w:t xml:space="preserve">Based upon a weighted average cost of capital </w:t>
      </w:r>
      <w:r w:rsidRPr="00A77DA3">
        <w:t xml:space="preserve">of </w:t>
      </w:r>
      <w:r w:rsidR="003C3538" w:rsidRPr="00A77DA3">
        <w:t xml:space="preserve">7.725280%, $80 </w:t>
      </w:r>
      <w:r w:rsidRPr="00A77DA3">
        <w:t xml:space="preserve">avoided cost per kW, </w:t>
      </w:r>
      <w:r w:rsidR="003C3538" w:rsidRPr="00A77DA3">
        <w:t xml:space="preserve">$0.03757 </w:t>
      </w:r>
      <w:r w:rsidRPr="00A77DA3">
        <w:t xml:space="preserve">avoided cost per kWh, and a </w:t>
      </w:r>
      <w:r w:rsidR="003C3538" w:rsidRPr="00A77DA3">
        <w:t xml:space="preserve">2.0% </w:t>
      </w:r>
      <w:r w:rsidRPr="00A77DA3">
        <w:t xml:space="preserve">inflation rate, the total present value of avoided costs associated with the 2018 demand reductions and energy savings is </w:t>
      </w:r>
      <w:r w:rsidR="003C3538" w:rsidRPr="00A77DA3">
        <w:t>$25,970,207.</w:t>
      </w:r>
    </w:p>
    <w:p w14:paraId="67D19B50" w14:textId="6096A74A" w:rsidR="00D55993" w:rsidRDefault="00087692" w:rsidP="008D4CED">
      <w:pPr>
        <w:pStyle w:val="FOFNumbered"/>
      </w:pPr>
      <w:r w:rsidRPr="00675E63">
        <w:t xml:space="preserve">In the </w:t>
      </w:r>
      <w:r w:rsidR="005906D7">
        <w:t>A</w:t>
      </w:r>
      <w:r w:rsidRPr="00675E63">
        <w:t xml:space="preserve">greement, ETI seeks the maximum allowable performance bonus under 16 TAC § 25.182(e), which is 10% of the net benefits of </w:t>
      </w:r>
      <w:r w:rsidR="003C3538" w:rsidRPr="00A77DA3">
        <w:t xml:space="preserve">$16,732,069 </w:t>
      </w:r>
      <w:r w:rsidRPr="00A77DA3">
        <w:t>achieved</w:t>
      </w:r>
      <w:r>
        <w:t xml:space="preserve"> through its energy efficiency incentive program costs, for exceeding its goal for calendar year 2018. The resulting performance bonus from this calculation is </w:t>
      </w:r>
      <w:r w:rsidR="00D55993">
        <w:t>$1,673,</w:t>
      </w:r>
      <w:r w:rsidR="003C3538">
        <w:t>207</w:t>
      </w:r>
      <w:r w:rsidR="00D55993">
        <w:t>.</w:t>
      </w:r>
    </w:p>
    <w:p w14:paraId="2CA0C6C2" w14:textId="62C5B049" w:rsidR="00087692" w:rsidRPr="00D55993" w:rsidRDefault="00D55993" w:rsidP="00D55993">
      <w:pPr>
        <w:pStyle w:val="FOFNumbered"/>
        <w:numPr>
          <w:ilvl w:val="0"/>
          <w:numId w:val="0"/>
        </w:numPr>
        <w:rPr>
          <w:b/>
          <w:i/>
          <w:u w:val="single"/>
        </w:rPr>
      </w:pPr>
      <w:r w:rsidRPr="00D55993">
        <w:rPr>
          <w:b/>
          <w:i/>
          <w:u w:val="single"/>
        </w:rPr>
        <w:t xml:space="preserve">Evaluation, Measurement, and Verification Costs </w:t>
      </w:r>
      <w:r w:rsidRPr="00D55993">
        <w:rPr>
          <w:i/>
          <w:u w:val="single"/>
        </w:rPr>
        <w:t>16 TAC §25.181(o)</w:t>
      </w:r>
      <w:r w:rsidR="00087692" w:rsidRPr="00D55993">
        <w:rPr>
          <w:i/>
          <w:u w:val="single"/>
        </w:rPr>
        <w:t xml:space="preserve"> </w:t>
      </w:r>
    </w:p>
    <w:p w14:paraId="37EC11FC" w14:textId="2986FD80" w:rsidR="00D55993" w:rsidRDefault="00D55993" w:rsidP="001D7834">
      <w:pPr>
        <w:pStyle w:val="FOFNumbered"/>
      </w:pPr>
      <w:r>
        <w:t>ETI’s share under 16 TAC § 25.181</w:t>
      </w:r>
      <w:r w:rsidR="00B96CFE">
        <w:t xml:space="preserve">(o)(10) of the estimated total EM&amp;V costs to be </w:t>
      </w:r>
      <w:r w:rsidR="00B41A22">
        <w:t>collected</w:t>
      </w:r>
      <w:r w:rsidR="00B96CFE">
        <w:t xml:space="preserve"> in 2020 in the amount of</w:t>
      </w:r>
      <w:r w:rsidR="00E56247">
        <w:t xml:space="preserve"> $106,180</w:t>
      </w:r>
      <w:r w:rsidR="00B96CFE">
        <w:t xml:space="preserve"> is directly assigned to the maximum extent reasonably possible to each rate class that received services under its programs.</w:t>
      </w:r>
    </w:p>
    <w:p w14:paraId="2F3B99C8" w14:textId="1A5B249D" w:rsidR="00B96CFE" w:rsidRPr="00B96CFE" w:rsidRDefault="00B96CFE" w:rsidP="00B96CFE">
      <w:pPr>
        <w:pStyle w:val="FOFNumbered"/>
        <w:numPr>
          <w:ilvl w:val="0"/>
          <w:numId w:val="0"/>
        </w:numPr>
        <w:rPr>
          <w:b/>
          <w:i/>
          <w:u w:val="single"/>
        </w:rPr>
      </w:pPr>
      <w:r w:rsidRPr="00B96CFE">
        <w:rPr>
          <w:b/>
          <w:i/>
          <w:u w:val="single"/>
        </w:rPr>
        <w:t>Administrative and Research and Development Cost Caps</w:t>
      </w:r>
      <w:r w:rsidRPr="00B96CFE">
        <w:rPr>
          <w:i/>
          <w:u w:val="single"/>
        </w:rPr>
        <w:t xml:space="preserve"> 16 TAC § 25.181(g)</w:t>
      </w:r>
    </w:p>
    <w:p w14:paraId="1EA7B5A4" w14:textId="510C52FC" w:rsidR="001D7834" w:rsidRDefault="001D7834" w:rsidP="008D4CED">
      <w:pPr>
        <w:pStyle w:val="FOFNumbered"/>
      </w:pPr>
      <w:r>
        <w:t xml:space="preserve">Including </w:t>
      </w:r>
      <w:r w:rsidRPr="00A77DA3">
        <w:t xml:space="preserve">ETI’s rate case expenses, ETI incurred </w:t>
      </w:r>
      <w:r w:rsidR="00216B0F" w:rsidRPr="00A77DA3">
        <w:t>$7</w:t>
      </w:r>
      <w:r w:rsidR="00B30A64" w:rsidRPr="00A77DA3">
        <w:t>24,943</w:t>
      </w:r>
      <w:r w:rsidR="00216B0F" w:rsidRPr="00A77DA3">
        <w:t xml:space="preserve"> </w:t>
      </w:r>
      <w:r w:rsidRPr="00A77DA3">
        <w:t xml:space="preserve">in necessary administrative costs, which was </w:t>
      </w:r>
      <w:r w:rsidR="00B30A64" w:rsidRPr="00A77DA3">
        <w:t xml:space="preserve">10.1% </w:t>
      </w:r>
      <w:r w:rsidRPr="00A77DA3">
        <w:t xml:space="preserve">of the total program costs, for the 2018 energy efficiency programs to meet its goals. ETI incurred </w:t>
      </w:r>
      <w:r w:rsidR="00B30A64" w:rsidRPr="00A77DA3">
        <w:t xml:space="preserve">$28,001 </w:t>
      </w:r>
      <w:r w:rsidRPr="00A77DA3">
        <w:t xml:space="preserve">in research and development costs, which was </w:t>
      </w:r>
      <w:r w:rsidR="00B30A64" w:rsidRPr="00A77DA3">
        <w:t xml:space="preserve">0.4% </w:t>
      </w:r>
      <w:r w:rsidRPr="00675E63">
        <w:t xml:space="preserve">of the total program costs for the previous year, for the 2018 energy efficiency programs </w:t>
      </w:r>
      <w:r w:rsidRPr="00675E63">
        <w:lastRenderedPageBreak/>
        <w:t xml:space="preserve">to meet ETI’s goal. Therefore, ETI’s cumulative cost of administration and research and development was </w:t>
      </w:r>
      <w:r w:rsidR="00B30A64" w:rsidRPr="00A77DA3">
        <w:t xml:space="preserve">10.5% </w:t>
      </w:r>
      <w:r w:rsidRPr="00A77DA3">
        <w:t>of the total program costs.</w:t>
      </w:r>
    </w:p>
    <w:p w14:paraId="499B80BD" w14:textId="574E2D15" w:rsidR="001D7834" w:rsidRDefault="001D7834" w:rsidP="008D4CED">
      <w:pPr>
        <w:pStyle w:val="FOFNumbered"/>
      </w:pPr>
      <w:r>
        <w:t>ETI’s 2018 program year cost of administration did not exceed 15% of its total program costs. ETI’s cost of research and development did not exceed 10% of its total program costs for the 2018 program year. ETI’s cumulative cost of administration and research and development did not exceed 20% of its total 2018 program costs.</w:t>
      </w:r>
    </w:p>
    <w:p w14:paraId="6D24661A" w14:textId="3AB7E86C" w:rsidR="001D7834" w:rsidRDefault="001D7834" w:rsidP="008D4CED">
      <w:pPr>
        <w:pStyle w:val="FOFNumbered"/>
      </w:pPr>
      <w:r>
        <w:t xml:space="preserve">ETI’s budget for the 2020 </w:t>
      </w:r>
      <w:r w:rsidRPr="00A77DA3">
        <w:t xml:space="preserve">program year includes </w:t>
      </w:r>
      <w:r w:rsidR="00852CA7" w:rsidRPr="00A77DA3">
        <w:t xml:space="preserve">$775,985 </w:t>
      </w:r>
      <w:r w:rsidRPr="00A77DA3">
        <w:t xml:space="preserve">in administrative costs for the 2020 energy efficiency programs to meet its goal, which is </w:t>
      </w:r>
      <w:r w:rsidR="00852CA7" w:rsidRPr="00A77DA3">
        <w:t xml:space="preserve">10.2% </w:t>
      </w:r>
      <w:r w:rsidRPr="00A77DA3">
        <w:t>of the total program</w:t>
      </w:r>
      <w:r w:rsidR="00D74D7F" w:rsidRPr="00A77DA3">
        <w:t xml:space="preserve"> costs, and </w:t>
      </w:r>
      <w:r w:rsidR="00852CA7" w:rsidRPr="00A77DA3">
        <w:t xml:space="preserve">$22,000 </w:t>
      </w:r>
      <w:r w:rsidR="00D74D7F" w:rsidRPr="00A77DA3">
        <w:t xml:space="preserve">for research and development expenditures, which is </w:t>
      </w:r>
      <w:r w:rsidR="00852CA7" w:rsidRPr="00A77DA3">
        <w:t xml:space="preserve">0.3% </w:t>
      </w:r>
      <w:r w:rsidR="00D74D7F" w:rsidRPr="00A77DA3">
        <w:t xml:space="preserve">of the total program costs. ETI’s cumulative budgeted cost of administration and research and development is </w:t>
      </w:r>
      <w:r w:rsidR="00852CA7" w:rsidRPr="00A77DA3">
        <w:t xml:space="preserve">10.5% </w:t>
      </w:r>
      <w:r w:rsidR="00D74D7F" w:rsidRPr="00A77DA3">
        <w:t>of</w:t>
      </w:r>
      <w:r w:rsidR="00D74D7F">
        <w:t xml:space="preserve"> the </w:t>
      </w:r>
      <w:r w:rsidR="00C55A4F">
        <w:t>2020</w:t>
      </w:r>
      <w:r w:rsidR="00D74D7F">
        <w:t xml:space="preserve"> total program costs.</w:t>
      </w:r>
    </w:p>
    <w:p w14:paraId="6CF07893" w14:textId="58D209A5" w:rsidR="001D7834" w:rsidRDefault="00D74D7F" w:rsidP="008D4CED">
      <w:pPr>
        <w:pStyle w:val="FOFNumbered"/>
      </w:pPr>
      <w:r>
        <w:t>ETI’s budgeted 2020 program year cost of administration does not exceed 15% of its total program costs. ETI’s 2020 budgeted cost of research and development does not exceed 10% of its total program costs. ETI’s cumulative budgeted cost of administration and research and development does not exceed 20% of its total 2020 program costs.</w:t>
      </w:r>
    </w:p>
    <w:p w14:paraId="0CC8E66C" w14:textId="2766E224" w:rsidR="00D74D7F" w:rsidRPr="00D74D7F" w:rsidRDefault="00D74D7F" w:rsidP="00D74D7F">
      <w:pPr>
        <w:pStyle w:val="FOFNumbered"/>
        <w:numPr>
          <w:ilvl w:val="0"/>
          <w:numId w:val="0"/>
        </w:numPr>
        <w:rPr>
          <w:b/>
          <w:i/>
          <w:u w:val="single"/>
        </w:rPr>
      </w:pPr>
      <w:r w:rsidRPr="00D74D7F">
        <w:rPr>
          <w:b/>
          <w:i/>
          <w:u w:val="single"/>
        </w:rPr>
        <w:t xml:space="preserve">Cost Effectiveness </w:t>
      </w:r>
      <w:r w:rsidRPr="003B7D8F">
        <w:rPr>
          <w:i/>
          <w:u w:val="single"/>
        </w:rPr>
        <w:t>16 TAC § 25.181(d)</w:t>
      </w:r>
    </w:p>
    <w:p w14:paraId="1080918C" w14:textId="276DE975" w:rsidR="0079324C" w:rsidRPr="00A25972" w:rsidRDefault="003B7D8F" w:rsidP="00A25972">
      <w:pPr>
        <w:pStyle w:val="FOFNumbered"/>
        <w:shd w:val="clear" w:color="auto" w:fill="FFFFFF" w:themeFill="background1"/>
      </w:pPr>
      <w:r>
        <w:t>ETI used an avoided cost of capacity o</w:t>
      </w:r>
      <w:r w:rsidRPr="00A25972">
        <w:t>f $80 per kW-year for 2018. ETI used Commission Staff’s posted avoided cost of energy of $0.03757 per kWh for 2018.</w:t>
      </w:r>
    </w:p>
    <w:p w14:paraId="3F4623CC" w14:textId="23BE9FBB" w:rsidR="003B7D8F" w:rsidRDefault="003B7D8F" w:rsidP="00A25972">
      <w:pPr>
        <w:pStyle w:val="FOFNumbered"/>
        <w:shd w:val="clear" w:color="auto" w:fill="FFFFFF" w:themeFill="background1"/>
      </w:pPr>
      <w:r w:rsidRPr="00A25972">
        <w:t xml:space="preserve">ETI determined that its total energy efficiency program costs, exclusive of municipal rate case expenses, were $9,226,865 and its total avoided costs are $25,970,207 which produced a </w:t>
      </w:r>
      <w:r w:rsidR="00BA673B" w:rsidRPr="00A25972">
        <w:t xml:space="preserve">portfolio </w:t>
      </w:r>
      <w:r w:rsidRPr="00A25972">
        <w:t xml:space="preserve">benefit-cost ration of </w:t>
      </w:r>
      <w:r w:rsidRPr="00A25972">
        <w:rPr>
          <w:shd w:val="clear" w:color="auto" w:fill="FFFFFF" w:themeFill="background1"/>
        </w:rPr>
        <w:t>2.81</w:t>
      </w:r>
      <w:r>
        <w:t xml:space="preserve"> and exceeds the benefit-cost ration of 1.0 or greater required by 16 TAC § 25.181(d)</w:t>
      </w:r>
      <w:r w:rsidR="001644D3">
        <w:t>.</w:t>
      </w:r>
    </w:p>
    <w:p w14:paraId="589AE186" w14:textId="6CED48C5" w:rsidR="001644D3" w:rsidRDefault="001644D3" w:rsidP="008D4CED">
      <w:pPr>
        <w:pStyle w:val="FOFNumbered"/>
      </w:pPr>
      <w:r>
        <w:t xml:space="preserve">ETI’s forecasted 2020 EECRF program costs of </w:t>
      </w:r>
      <w:r w:rsidRPr="00A25972">
        <w:t>$7,508,671</w:t>
      </w:r>
      <w:r>
        <w:t xml:space="preserve"> conform to the requirements set forth in 16 TAC § 25.181(d) and are a reasonable estimate of the costs necessary to provide energy efficiency programs and meet ETI’s goals for 2020. </w:t>
      </w:r>
    </w:p>
    <w:p w14:paraId="12DAFBC5" w14:textId="19220E90" w:rsidR="001644D3" w:rsidRDefault="001644D3" w:rsidP="00B2385E">
      <w:pPr>
        <w:pStyle w:val="Heading7"/>
        <w:numPr>
          <w:ilvl w:val="6"/>
          <w:numId w:val="2"/>
        </w:numPr>
        <w:rPr>
          <w:b w:val="0"/>
        </w:rPr>
      </w:pPr>
      <w:r>
        <w:rPr>
          <w:rFonts w:eastAsia="Times New Roman"/>
        </w:rPr>
        <w:lastRenderedPageBreak/>
        <w:t xml:space="preserve">Total Cost Recovery </w:t>
      </w:r>
      <w:r w:rsidRPr="001644D3">
        <w:rPr>
          <w:b w:val="0"/>
        </w:rPr>
        <w:t>16 TAC § 25.18</w:t>
      </w:r>
      <w:r>
        <w:rPr>
          <w:b w:val="0"/>
        </w:rPr>
        <w:t>2</w:t>
      </w:r>
      <w:r w:rsidRPr="001644D3">
        <w:rPr>
          <w:b w:val="0"/>
        </w:rPr>
        <w:t>(d)</w:t>
      </w:r>
    </w:p>
    <w:p w14:paraId="4A956774" w14:textId="540EF704" w:rsidR="00662783" w:rsidRPr="00756A47" w:rsidRDefault="00662783" w:rsidP="00662783">
      <w:pPr>
        <w:pStyle w:val="FOFNumbered"/>
      </w:pPr>
      <w:r>
        <w:rPr>
          <w:rFonts w:cstheme="majorBidi"/>
          <w:iCs/>
          <w:snapToGrid/>
          <w:szCs w:val="24"/>
        </w:rPr>
        <w:t>ETI’s total costs recoverable through the 2018 EECRF (including actual 2018 program costs, the 2016 performance bonus and true-up amounts in the 2018 rates, and the 2016 EECRF proceeding costs in the 2018 rates) were $</w:t>
      </w:r>
      <w:r w:rsidR="00756A47">
        <w:rPr>
          <w:rFonts w:cstheme="majorBidi"/>
          <w:iCs/>
          <w:snapToGrid/>
          <w:szCs w:val="24"/>
        </w:rPr>
        <w:t xml:space="preserve"> 9,768,890.</w:t>
      </w:r>
    </w:p>
    <w:p w14:paraId="5D27242D" w14:textId="292109F7" w:rsidR="00756A47" w:rsidRDefault="00756A47" w:rsidP="00662783">
      <w:pPr>
        <w:pStyle w:val="FOFNumbered"/>
      </w:pPr>
      <w:r>
        <w:t xml:space="preserve">The costs incurred and recovered by ETI through its EECRF for program year 2018 were reasonable and necessary to reduce energy and demand costs and are reconciled for program year 2018. </w:t>
      </w:r>
    </w:p>
    <w:p w14:paraId="33C4FE3D" w14:textId="4C79AAF9" w:rsidR="00756A47" w:rsidRDefault="00756A47" w:rsidP="00756A47">
      <w:pPr>
        <w:pStyle w:val="FOFNumbered"/>
        <w:numPr>
          <w:ilvl w:val="0"/>
          <w:numId w:val="0"/>
        </w:numPr>
        <w:rPr>
          <w:i/>
          <w:u w:val="single"/>
        </w:rPr>
      </w:pPr>
      <w:r w:rsidRPr="00756A47">
        <w:rPr>
          <w:b/>
          <w:i/>
          <w:u w:val="single"/>
        </w:rPr>
        <w:t xml:space="preserve">Rate Classes and Direct Assignment of Costs </w:t>
      </w:r>
      <w:r w:rsidRPr="00756A47">
        <w:rPr>
          <w:i/>
          <w:u w:val="single"/>
        </w:rPr>
        <w:t>16 TAC § 25.182(d)(2)</w:t>
      </w:r>
    </w:p>
    <w:p w14:paraId="72A0FB5B" w14:textId="23E19C74" w:rsidR="00756A47" w:rsidRDefault="00756A47" w:rsidP="00756A47">
      <w:pPr>
        <w:pStyle w:val="FOFNumbered"/>
      </w:pPr>
      <w:r>
        <w:t>ETI’s program costs are directly assigned to each EECRF rate class that receives services under the programs to the maximum extent possible.</w:t>
      </w:r>
    </w:p>
    <w:p w14:paraId="213BDDCB" w14:textId="59DBA971" w:rsidR="00756A47" w:rsidRDefault="00756A47" w:rsidP="00756A47">
      <w:pPr>
        <w:pStyle w:val="FOFNumbered"/>
      </w:pPr>
      <w:r>
        <w:t>ETI did not propose an EECRF for any commercial rate class as a demand charge.</w:t>
      </w:r>
    </w:p>
    <w:p w14:paraId="5B0043D8" w14:textId="1C69C658" w:rsidR="00756A47" w:rsidRPr="00756A47" w:rsidRDefault="00756A47" w:rsidP="00756A47">
      <w:pPr>
        <w:pStyle w:val="FOFNumbered"/>
      </w:pPr>
      <w:r>
        <w:t>ETI’s proposed rate classes reflect the retail rate classes approved in ETI’s most recent base-rate proceeding, excluding non-eligible customers.</w:t>
      </w:r>
    </w:p>
    <w:p w14:paraId="3D61DBDD" w14:textId="6A906EB5" w:rsidR="00756A47" w:rsidRDefault="00756A47" w:rsidP="00B2385E">
      <w:pPr>
        <w:pStyle w:val="Heading7"/>
        <w:numPr>
          <w:ilvl w:val="6"/>
          <w:numId w:val="2"/>
        </w:numPr>
        <w:rPr>
          <w:rFonts w:eastAsia="Times New Roman"/>
        </w:rPr>
      </w:pPr>
      <w:r>
        <w:rPr>
          <w:rFonts w:eastAsia="Times New Roman"/>
        </w:rPr>
        <w:t xml:space="preserve">Fostering of Competition Among Energy Efficiency Service Providers </w:t>
      </w:r>
      <w:r w:rsidRPr="00756A47">
        <w:rPr>
          <w:b w:val="0"/>
          <w:i w:val="0"/>
        </w:rPr>
        <w:t>16 TAC § 25.181(g)(2)</w:t>
      </w:r>
    </w:p>
    <w:p w14:paraId="30D51A3F" w14:textId="0B575597" w:rsidR="00756A47" w:rsidRPr="00756A47" w:rsidRDefault="00756A47" w:rsidP="00756A47">
      <w:pPr>
        <w:pStyle w:val="FOFNumbered"/>
      </w:pPr>
      <w:r>
        <w:t>ETI has adopted measures to foster competition among energy efficiency service providers.</w:t>
      </w:r>
    </w:p>
    <w:p w14:paraId="7FA0EA81" w14:textId="7FF13BE6" w:rsidR="00E263B1" w:rsidRDefault="00E263B1" w:rsidP="00B2385E">
      <w:pPr>
        <w:pStyle w:val="Heading7"/>
        <w:numPr>
          <w:ilvl w:val="6"/>
          <w:numId w:val="2"/>
        </w:numPr>
        <w:rPr>
          <w:b w:val="0"/>
          <w:i w:val="0"/>
        </w:rPr>
      </w:pPr>
      <w:r>
        <w:rPr>
          <w:rFonts w:eastAsia="Times New Roman"/>
        </w:rPr>
        <w:t xml:space="preserve">Requirements for Standard Offer, Market Transformation, and Self-Delivered Programs </w:t>
      </w:r>
      <w:r w:rsidRPr="00E263B1">
        <w:rPr>
          <w:rFonts w:eastAsia="Times New Roman"/>
          <w:b w:val="0"/>
        </w:rPr>
        <w:t>16 TAC</w:t>
      </w:r>
      <w:r w:rsidRPr="00E263B1">
        <w:rPr>
          <w:b w:val="0"/>
          <w:i w:val="0"/>
        </w:rPr>
        <w:t xml:space="preserve"> § 25.181(</w:t>
      </w:r>
      <w:r>
        <w:rPr>
          <w:b w:val="0"/>
          <w:i w:val="0"/>
        </w:rPr>
        <w:t>k</w:t>
      </w:r>
      <w:r w:rsidRPr="00E263B1">
        <w:rPr>
          <w:b w:val="0"/>
          <w:i w:val="0"/>
        </w:rPr>
        <w:t>)</w:t>
      </w:r>
    </w:p>
    <w:p w14:paraId="6493E6E8" w14:textId="7836A36C" w:rsidR="00E263B1" w:rsidRPr="00E263B1" w:rsidRDefault="00E263B1" w:rsidP="00E263B1">
      <w:pPr>
        <w:pStyle w:val="FOFNumbered"/>
      </w:pPr>
      <w:r>
        <w:rPr>
          <w:rFonts w:cstheme="majorBidi"/>
          <w:iCs/>
          <w:snapToGrid/>
          <w:szCs w:val="24"/>
        </w:rPr>
        <w:t>ETI’s energy efficiency program includes standard offer and market transformation programs.</w:t>
      </w:r>
    </w:p>
    <w:p w14:paraId="77120565" w14:textId="4D75FD53" w:rsidR="00E263B1" w:rsidRDefault="00E263B1" w:rsidP="00E263B1">
      <w:pPr>
        <w:pStyle w:val="Heading7"/>
        <w:numPr>
          <w:ilvl w:val="0"/>
          <w:numId w:val="0"/>
        </w:numPr>
        <w:rPr>
          <w:b w:val="0"/>
        </w:rPr>
      </w:pPr>
      <w:r w:rsidRPr="00E263B1">
        <w:rPr>
          <w:rFonts w:eastAsia="Times New Roman" w:cs="Times New Roman"/>
          <w:iCs w:val="0"/>
          <w:snapToGrid w:val="0"/>
          <w:szCs w:val="20"/>
        </w:rPr>
        <w:t xml:space="preserve">Incentive Payments </w:t>
      </w:r>
      <w:r w:rsidRPr="00E263B1">
        <w:rPr>
          <w:b w:val="0"/>
        </w:rPr>
        <w:t>16 TAC § 25.182(f)</w:t>
      </w:r>
    </w:p>
    <w:p w14:paraId="42843936" w14:textId="1FEEECEB" w:rsidR="00E263B1" w:rsidRPr="00A25972" w:rsidRDefault="00E263B1" w:rsidP="00E263B1">
      <w:pPr>
        <w:pStyle w:val="FOFNumbered"/>
      </w:pPr>
      <w:r>
        <w:t xml:space="preserve">ETI’s program incentive costs for 2018 </w:t>
      </w:r>
      <w:r w:rsidRPr="00A25972">
        <w:t xml:space="preserve">were </w:t>
      </w:r>
      <w:r w:rsidR="00320E36" w:rsidRPr="00A25972">
        <w:t>$6,332,263.</w:t>
      </w:r>
    </w:p>
    <w:p w14:paraId="16B5B292" w14:textId="67F99043" w:rsidR="00E263B1" w:rsidRDefault="00E263B1" w:rsidP="00E263B1">
      <w:pPr>
        <w:pStyle w:val="FOFNumbered"/>
      </w:pPr>
      <w:r w:rsidRPr="00A25972">
        <w:t xml:space="preserve">ETI’s projected program incentive costs for 2020 are </w:t>
      </w:r>
      <w:r w:rsidR="00320E36" w:rsidRPr="00A25972">
        <w:t>$6,710,686</w:t>
      </w:r>
      <w:r w:rsidR="00320E36">
        <w:t>.</w:t>
      </w:r>
    </w:p>
    <w:p w14:paraId="3797E278" w14:textId="1A533CD7" w:rsidR="00E263B1" w:rsidRPr="00E263B1" w:rsidRDefault="00E263B1" w:rsidP="00E263B1">
      <w:pPr>
        <w:pStyle w:val="FOFNumbered"/>
      </w:pPr>
      <w:r>
        <w:t>ETI’s incentive payments for the customer classes in program year 2018 are less than 100% of avoided cost for each customer class.</w:t>
      </w:r>
    </w:p>
    <w:p w14:paraId="0D33EEEA" w14:textId="7E993741" w:rsidR="00E263B1" w:rsidRDefault="00E263B1" w:rsidP="00E263B1">
      <w:pPr>
        <w:pStyle w:val="Heading7"/>
        <w:numPr>
          <w:ilvl w:val="0"/>
          <w:numId w:val="0"/>
        </w:numPr>
        <w:rPr>
          <w:rFonts w:eastAsia="Times New Roman"/>
          <w:b w:val="0"/>
        </w:rPr>
      </w:pPr>
      <w:r>
        <w:rPr>
          <w:rFonts w:eastAsia="Times New Roman"/>
        </w:rPr>
        <w:t xml:space="preserve">Affiliate Costs </w:t>
      </w:r>
      <w:r w:rsidRPr="001F5857">
        <w:rPr>
          <w:rFonts w:eastAsia="Times New Roman"/>
          <w:b w:val="0"/>
        </w:rPr>
        <w:t xml:space="preserve">PURA </w:t>
      </w:r>
      <w:r w:rsidRPr="001F5857">
        <w:rPr>
          <w:rFonts w:eastAsia="Times New Roman" w:cs="Times New Roman"/>
          <w:b w:val="0"/>
        </w:rPr>
        <w:t>§</w:t>
      </w:r>
      <w:r w:rsidRPr="001F5857">
        <w:rPr>
          <w:rFonts w:eastAsia="Times New Roman"/>
          <w:b w:val="0"/>
        </w:rPr>
        <w:t xml:space="preserve"> 36.058, 16 TAC 25.182(</w:t>
      </w:r>
      <w:r w:rsidR="00807354" w:rsidRPr="001F5857">
        <w:rPr>
          <w:rFonts w:eastAsia="Times New Roman"/>
          <w:b w:val="0"/>
        </w:rPr>
        <w:t>d)(10)(I), and 25.</w:t>
      </w:r>
      <w:r w:rsidR="001F5857" w:rsidRPr="001F5857">
        <w:rPr>
          <w:rFonts w:eastAsia="Times New Roman"/>
          <w:b w:val="0"/>
        </w:rPr>
        <w:t>2</w:t>
      </w:r>
      <w:r w:rsidR="00807354" w:rsidRPr="001F5857">
        <w:rPr>
          <w:rFonts w:eastAsia="Times New Roman"/>
          <w:b w:val="0"/>
        </w:rPr>
        <w:t>72(e)</w:t>
      </w:r>
    </w:p>
    <w:p w14:paraId="6655CC1C" w14:textId="519B18D2" w:rsidR="00DD7782" w:rsidRPr="00DD7782" w:rsidRDefault="00DD7782" w:rsidP="00DD7782">
      <w:pPr>
        <w:pStyle w:val="FOFNumbered"/>
      </w:pPr>
      <w:r>
        <w:t xml:space="preserve">The costs charged to ETI by its affiliate, Entergy Services, LLC, under project code F3PPEECRF3 in calendar year 2018 should be characterized as energy efficiency costs and recovered through the EECRF.  The overall purpose of this project is to capture and </w:t>
      </w:r>
      <w:r>
        <w:lastRenderedPageBreak/>
        <w:t xml:space="preserve">manage costs associated with services provided in the preparation, production, and litigation of the EECRF filing and the charges are reasonable and necessary to provide energy efficiency programs.  The price for these affiliate payments is not higher than the prices charged by the supplying affiliate for the same item or class of items to its other affiliates or divisions or a nonaffiliated person within the same market area or having the same market conditions. </w:t>
      </w:r>
    </w:p>
    <w:p w14:paraId="61C5C4D2" w14:textId="45965A8E" w:rsidR="00DD7782" w:rsidRPr="004A4185" w:rsidRDefault="00DD7782" w:rsidP="00E263B1">
      <w:pPr>
        <w:pStyle w:val="Heading7"/>
        <w:numPr>
          <w:ilvl w:val="0"/>
          <w:numId w:val="0"/>
        </w:numPr>
        <w:rPr>
          <w:b w:val="0"/>
          <w:i w:val="0"/>
        </w:rPr>
      </w:pPr>
      <w:r>
        <w:rPr>
          <w:rFonts w:eastAsia="Times New Roman"/>
        </w:rPr>
        <w:t xml:space="preserve">Energy Efficiency Plan and Report </w:t>
      </w:r>
      <w:r w:rsidRPr="004A4185">
        <w:rPr>
          <w:b w:val="0"/>
          <w:i w:val="0"/>
        </w:rPr>
        <w:t>16 TAC § 25.181(l)</w:t>
      </w:r>
    </w:p>
    <w:p w14:paraId="341CCF4E" w14:textId="15F4D8EF" w:rsidR="00DD7782" w:rsidRPr="00DD7782" w:rsidRDefault="00DD7782" w:rsidP="00DD7782">
      <w:pPr>
        <w:pStyle w:val="FOFNumbered"/>
      </w:pPr>
      <w:r>
        <w:t xml:space="preserve">On May 16, 2019, ETI filed its 2019 amended EEPR required by </w:t>
      </w:r>
      <w:r w:rsidRPr="00DD7782">
        <w:t>16 TAC § 25.181(l)</w:t>
      </w:r>
      <w:r>
        <w:t>, and on July 17, 2019, ETI filed additional changes to the EEPR.</w:t>
      </w:r>
    </w:p>
    <w:p w14:paraId="5892C14E" w14:textId="291CEE26" w:rsidR="00DD7782" w:rsidRDefault="00DD7782" w:rsidP="00E263B1">
      <w:pPr>
        <w:pStyle w:val="Heading7"/>
        <w:numPr>
          <w:ilvl w:val="0"/>
          <w:numId w:val="0"/>
        </w:numPr>
        <w:rPr>
          <w:b w:val="0"/>
          <w:i w:val="0"/>
        </w:rPr>
      </w:pPr>
      <w:r>
        <w:rPr>
          <w:rFonts w:eastAsia="Times New Roman"/>
        </w:rPr>
        <w:t xml:space="preserve">Low Income Energy Efficiency </w:t>
      </w:r>
      <w:r w:rsidR="004A4185" w:rsidRPr="004A4185">
        <w:rPr>
          <w:b w:val="0"/>
          <w:i w:val="0"/>
        </w:rPr>
        <w:t>16 TAC § 25.181(p)</w:t>
      </w:r>
    </w:p>
    <w:p w14:paraId="55E8ED1D" w14:textId="3E52B999" w:rsidR="004A4185" w:rsidRPr="004A4185" w:rsidRDefault="004A4185" w:rsidP="004A4185">
      <w:pPr>
        <w:pStyle w:val="FOFNumbered"/>
      </w:pPr>
      <w:r>
        <w:t>ETI is not an unbundled transmission and distribution utility.</w:t>
      </w:r>
    </w:p>
    <w:p w14:paraId="4BB654DE" w14:textId="05E3553F" w:rsidR="004A4185" w:rsidRDefault="004A4185" w:rsidP="00E263B1">
      <w:pPr>
        <w:pStyle w:val="Heading7"/>
        <w:numPr>
          <w:ilvl w:val="0"/>
          <w:numId w:val="0"/>
        </w:numPr>
        <w:rPr>
          <w:b w:val="0"/>
          <w:i w:val="0"/>
        </w:rPr>
      </w:pPr>
      <w:r>
        <w:rPr>
          <w:rFonts w:eastAsia="Times New Roman"/>
        </w:rPr>
        <w:t xml:space="preserve">Outreach to Retail Electric Providers </w:t>
      </w:r>
      <w:r w:rsidRPr="004A4185">
        <w:rPr>
          <w:b w:val="0"/>
          <w:i w:val="0"/>
        </w:rPr>
        <w:t>16 TAC § 25.181(r)</w:t>
      </w:r>
    </w:p>
    <w:p w14:paraId="7D4A0AE7" w14:textId="28097F2B" w:rsidR="004A4185" w:rsidRPr="004A4185" w:rsidRDefault="004A4185" w:rsidP="004A4185">
      <w:pPr>
        <w:pStyle w:val="FOFNumbered"/>
      </w:pPr>
      <w:r>
        <w:t>ETI does not serve in an area in which customer choice is offered.</w:t>
      </w:r>
    </w:p>
    <w:p w14:paraId="7CB1EDA1" w14:textId="5CE14D95" w:rsidR="004A4185" w:rsidRDefault="004A4185" w:rsidP="00E263B1">
      <w:pPr>
        <w:pStyle w:val="Heading7"/>
        <w:numPr>
          <w:ilvl w:val="0"/>
          <w:numId w:val="0"/>
        </w:numPr>
        <w:rPr>
          <w:b w:val="0"/>
          <w:i w:val="0"/>
        </w:rPr>
      </w:pPr>
      <w:r>
        <w:rPr>
          <w:rFonts w:eastAsia="Times New Roman"/>
        </w:rPr>
        <w:t xml:space="preserve">Industrial Customer Exclusions </w:t>
      </w:r>
      <w:r w:rsidRPr="004A4185">
        <w:rPr>
          <w:b w:val="0"/>
          <w:i w:val="0"/>
        </w:rPr>
        <w:t>16 TAC § 25.181(u)</w:t>
      </w:r>
    </w:p>
    <w:p w14:paraId="4A6A3714" w14:textId="1560D31E" w:rsidR="004A4185" w:rsidRPr="004A4185" w:rsidRDefault="004A4185" w:rsidP="004A4185">
      <w:pPr>
        <w:pStyle w:val="FOFNumbered"/>
      </w:pPr>
      <w:r>
        <w:t xml:space="preserve">ETI received, as of the filing of the application, notices under </w:t>
      </w:r>
      <w:r w:rsidRPr="004A4185">
        <w:t>16 TAC § 25.181(u)</w:t>
      </w:r>
      <w:r>
        <w:t xml:space="preserve"> to exclude approximately </w:t>
      </w:r>
      <w:r w:rsidRPr="00A25972">
        <w:t>3</w:t>
      </w:r>
      <w:r>
        <w:t xml:space="preserve"> MW of peak demand from its energy efficiency programs for program year 2020. The excluded peak demand has been reflected in the EECRF calculations.</w:t>
      </w:r>
    </w:p>
    <w:p w14:paraId="2E9EB48A" w14:textId="254977D7" w:rsidR="004A4185" w:rsidRDefault="004A4185" w:rsidP="00E263B1">
      <w:pPr>
        <w:pStyle w:val="Heading7"/>
        <w:numPr>
          <w:ilvl w:val="0"/>
          <w:numId w:val="0"/>
        </w:numPr>
        <w:rPr>
          <w:rFonts w:eastAsia="Times New Roman"/>
        </w:rPr>
      </w:pPr>
      <w:r>
        <w:rPr>
          <w:rFonts w:eastAsia="Times New Roman"/>
        </w:rPr>
        <w:t xml:space="preserve">Line Losses </w:t>
      </w:r>
    </w:p>
    <w:p w14:paraId="0E8749E0" w14:textId="0A76D5CB" w:rsidR="009D0638" w:rsidRDefault="009D0638" w:rsidP="009D0638">
      <w:pPr>
        <w:pStyle w:val="FOFNumbered"/>
      </w:pPr>
      <w:r>
        <w:t>ETI’s line loss factors were derived from its last completed rate case, Docket No. 48371.</w:t>
      </w:r>
    </w:p>
    <w:p w14:paraId="0BF4829F" w14:textId="3C5C57AB" w:rsidR="009D0638" w:rsidRPr="009D0638" w:rsidRDefault="009D0638" w:rsidP="009D0638">
      <w:pPr>
        <w:pStyle w:val="FOFNumbered"/>
      </w:pPr>
      <w:r>
        <w:t xml:space="preserve">ETI’s line loss of </w:t>
      </w:r>
      <w:r w:rsidR="00405A97">
        <w:t xml:space="preserve">7.5685% </w:t>
      </w:r>
      <w:r>
        <w:t xml:space="preserve">used in calculating its </w:t>
      </w:r>
      <w:r w:rsidR="007064BE">
        <w:t>2020</w:t>
      </w:r>
      <w:r>
        <w:t xml:space="preserve"> EECRF charges is reasonable.</w:t>
      </w:r>
    </w:p>
    <w:p w14:paraId="79E19777" w14:textId="0CE40BA8" w:rsidR="009D0638" w:rsidRDefault="009D0638" w:rsidP="00E263B1">
      <w:pPr>
        <w:pStyle w:val="Heading7"/>
        <w:numPr>
          <w:ilvl w:val="0"/>
          <w:numId w:val="0"/>
        </w:numPr>
        <w:rPr>
          <w:b w:val="0"/>
          <w:i w:val="0"/>
        </w:rPr>
      </w:pPr>
      <w:r>
        <w:rPr>
          <w:rFonts w:eastAsia="Times New Roman"/>
        </w:rPr>
        <w:t xml:space="preserve">Billing Determinants </w:t>
      </w:r>
      <w:r w:rsidRPr="004A4185">
        <w:rPr>
          <w:b w:val="0"/>
          <w:i w:val="0"/>
        </w:rPr>
        <w:t>16 TAC § 25.18</w:t>
      </w:r>
      <w:r>
        <w:rPr>
          <w:b w:val="0"/>
          <w:i w:val="0"/>
        </w:rPr>
        <w:t>2(d)(10)(E)</w:t>
      </w:r>
    </w:p>
    <w:p w14:paraId="239FD1A6" w14:textId="3D9C0C32" w:rsidR="009D0638" w:rsidRPr="009D0638" w:rsidRDefault="009D0638" w:rsidP="009D0638">
      <w:pPr>
        <w:pStyle w:val="FOFNumbered"/>
      </w:pPr>
      <w:r>
        <w:t xml:space="preserve">The estimate of billing determinants used in calculating ETI’s 2020 EECRF and the calculation of the </w:t>
      </w:r>
      <w:r w:rsidR="007064BE">
        <w:t>2020</w:t>
      </w:r>
      <w:r>
        <w:t xml:space="preserve"> EECRF tariff rider are reasonable.</w:t>
      </w:r>
    </w:p>
    <w:p w14:paraId="38C4ABEE" w14:textId="5AD08A83" w:rsidR="009D0638" w:rsidRDefault="009D0638" w:rsidP="00E263B1">
      <w:pPr>
        <w:pStyle w:val="Heading7"/>
        <w:numPr>
          <w:ilvl w:val="0"/>
          <w:numId w:val="0"/>
        </w:numPr>
        <w:rPr>
          <w:rFonts w:eastAsia="Times New Roman"/>
        </w:rPr>
      </w:pPr>
      <w:r>
        <w:rPr>
          <w:rFonts w:eastAsia="Times New Roman"/>
        </w:rPr>
        <w:t>Good Cause</w:t>
      </w:r>
    </w:p>
    <w:p w14:paraId="0D5EA500" w14:textId="73D4183F" w:rsidR="009D0638" w:rsidRPr="009D0638" w:rsidRDefault="009D0638" w:rsidP="009D0638">
      <w:pPr>
        <w:pStyle w:val="FOFNumbered"/>
      </w:pPr>
      <w:r>
        <w:t xml:space="preserve">ETI did not seek a good </w:t>
      </w:r>
      <w:r w:rsidR="00167903">
        <w:t>cause</w:t>
      </w:r>
      <w:r>
        <w:t xml:space="preserve"> exception to be eligible for a lower demand reduction goal, a higher administrative spending cap, or a higher EECRF cost cap under </w:t>
      </w:r>
      <w:r w:rsidRPr="009D0638">
        <w:t>16 TAC § 25.18</w:t>
      </w:r>
      <w:r w:rsidR="00E97AE2">
        <w:t>1(e)(</w:t>
      </w:r>
      <w:r w:rsidRPr="009D0638">
        <w:t>2</w:t>
      </w:r>
      <w:r w:rsidR="00E97AE2">
        <w:t xml:space="preserve">) or to combine rate classes under </w:t>
      </w:r>
      <w:r w:rsidR="00E97AE2" w:rsidRPr="009D0638">
        <w:t>16 TAC § 25.18</w:t>
      </w:r>
      <w:r w:rsidR="00E97AE2">
        <w:t>2</w:t>
      </w:r>
      <w:r w:rsidRPr="009D0638">
        <w:t>(d)(2)</w:t>
      </w:r>
      <w:r w:rsidR="00E97AE2">
        <w:t>.</w:t>
      </w:r>
    </w:p>
    <w:p w14:paraId="1880A540" w14:textId="1EDA5391" w:rsidR="00B2385E" w:rsidRPr="004F3441" w:rsidRDefault="00B2385E" w:rsidP="00E263B1">
      <w:pPr>
        <w:pStyle w:val="Heading7"/>
        <w:numPr>
          <w:ilvl w:val="0"/>
          <w:numId w:val="0"/>
        </w:numPr>
        <w:rPr>
          <w:rFonts w:eastAsia="Times New Roman"/>
        </w:rPr>
      </w:pPr>
      <w:r w:rsidRPr="004F3441">
        <w:rPr>
          <w:rFonts w:eastAsia="Times New Roman"/>
        </w:rPr>
        <w:lastRenderedPageBreak/>
        <w:t xml:space="preserve">Informal Disposition </w:t>
      </w:r>
    </w:p>
    <w:p w14:paraId="1A5039A1" w14:textId="4190A74A" w:rsidR="00B2385E" w:rsidRDefault="00B2385E" w:rsidP="00B2385E">
      <w:pPr>
        <w:pStyle w:val="FOFNumbered"/>
      </w:pPr>
      <w:r w:rsidRPr="004F3441">
        <w:t>More than 15 days have passed since completion of the notice provided in this docket.</w:t>
      </w:r>
    </w:p>
    <w:p w14:paraId="656E9846" w14:textId="2A340CB0" w:rsidR="00E97AE2" w:rsidRDefault="00E97AE2" w:rsidP="00B2385E">
      <w:pPr>
        <w:pStyle w:val="FOFNumbered"/>
      </w:pPr>
      <w:r>
        <w:t xml:space="preserve">The proposed resolution of this docket set forth in the </w:t>
      </w:r>
      <w:r w:rsidR="005906D7">
        <w:t>A</w:t>
      </w:r>
      <w:r>
        <w:t xml:space="preserve">greement is not </w:t>
      </w:r>
      <w:proofErr w:type="gramStart"/>
      <w:r>
        <w:t>adverse</w:t>
      </w:r>
      <w:proofErr w:type="gramEnd"/>
      <w:r>
        <w:t xml:space="preserve"> to any party.</w:t>
      </w:r>
    </w:p>
    <w:p w14:paraId="54F15C1D" w14:textId="596829F7" w:rsidR="00E97AE2" w:rsidRPr="004F3441" w:rsidRDefault="00E97AE2" w:rsidP="00B2385E">
      <w:pPr>
        <w:pStyle w:val="FOFNumbered"/>
      </w:pPr>
      <w:r>
        <w:t>No protests, motions to intervene, or requests for hearing were filed that have not been addressed, and no party, including Commission Staff, disputes any issue of law or fact.</w:t>
      </w:r>
    </w:p>
    <w:p w14:paraId="12BFA3DE" w14:textId="77777777" w:rsidR="00EE5DDA" w:rsidRPr="004F3441" w:rsidRDefault="00EE5DDA" w:rsidP="00EE5DDA">
      <w:pPr>
        <w:pStyle w:val="Heading1"/>
      </w:pPr>
      <w:r w:rsidRPr="004F3441">
        <w:t>Conclusions of Law</w:t>
      </w:r>
    </w:p>
    <w:p w14:paraId="5CFE2EF9" w14:textId="77777777" w:rsidR="00B2385E" w:rsidRPr="004F3441" w:rsidRDefault="00B2385E" w:rsidP="00B2385E">
      <w:pPr>
        <w:pStyle w:val="COLNumbered"/>
      </w:pPr>
      <w:r w:rsidRPr="004F3441">
        <w:t>ETI is a public utility as that term is defined in PURA § 11.004(1) and an electric utility as that term is defined in PURA § 31.002(6).</w:t>
      </w:r>
    </w:p>
    <w:p w14:paraId="1E5CF08F" w14:textId="2037B7AC" w:rsidR="00B2385E" w:rsidRPr="00E97AE2" w:rsidRDefault="00B2385E" w:rsidP="00B2385E">
      <w:pPr>
        <w:pStyle w:val="COLNumbered"/>
      </w:pPr>
      <w:r w:rsidRPr="004F3441">
        <w:t xml:space="preserve">The Commission exercises regulatory authority over ETI and the subject matter of this application </w:t>
      </w:r>
      <w:r w:rsidR="00603606" w:rsidRPr="004F3441">
        <w:t>under</w:t>
      </w:r>
      <w:r w:rsidRPr="004F3441">
        <w:t xml:space="preserve"> PURA §§ 14.001, </w:t>
      </w:r>
      <w:r w:rsidR="00E97AE2">
        <w:t xml:space="preserve">32.001, 36.001, </w:t>
      </w:r>
      <w:r w:rsidRPr="004F3441">
        <w:t xml:space="preserve">36.204, </w:t>
      </w:r>
      <w:r w:rsidR="00E97AE2">
        <w:t>and 39.905</w:t>
      </w:r>
      <w:r w:rsidRPr="004F3441">
        <w:rPr>
          <w:rFonts w:eastAsia="Arial"/>
        </w:rPr>
        <w:t>.</w:t>
      </w:r>
    </w:p>
    <w:p w14:paraId="148DF437" w14:textId="7B149568" w:rsidR="00E97AE2" w:rsidRDefault="00E97AE2" w:rsidP="00B2385E">
      <w:pPr>
        <w:pStyle w:val="COLNumbered"/>
      </w:pPr>
      <w:r>
        <w:t xml:space="preserve">Under PURA </w:t>
      </w:r>
      <w:r w:rsidRPr="004F3441">
        <w:t>§</w:t>
      </w:r>
      <w:r w:rsidR="00197008">
        <w:t xml:space="preserve"> 39.905 and 16 TAC </w:t>
      </w:r>
      <w:r w:rsidR="00197008" w:rsidRPr="004F3441">
        <w:t>§</w:t>
      </w:r>
      <w:r w:rsidR="00197008">
        <w:t xml:space="preserve"> 25.182(d)(8), an electric utility may file for an EECRF.</w:t>
      </w:r>
    </w:p>
    <w:p w14:paraId="5FB4BB97" w14:textId="1FBBD4DF" w:rsidR="00197008" w:rsidRDefault="00197008" w:rsidP="00B2385E">
      <w:pPr>
        <w:pStyle w:val="COLNumbered"/>
      </w:pPr>
      <w:r>
        <w:t xml:space="preserve">ETI complied with the requirement under 16 TAC </w:t>
      </w:r>
      <w:r w:rsidRPr="004F3441">
        <w:t>§</w:t>
      </w:r>
      <w:r>
        <w:t xml:space="preserve"> 25.182(d)(8) to apply by May 1 of each year to adjust its EECRF effective January 1 of the following year. </w:t>
      </w:r>
    </w:p>
    <w:p w14:paraId="6E855937" w14:textId="7AE867E3" w:rsidR="00B2385E" w:rsidRDefault="00197008" w:rsidP="00B257B0">
      <w:pPr>
        <w:pStyle w:val="COLNumbered"/>
      </w:pPr>
      <w:r>
        <w:t xml:space="preserve">The Commission processed the application in </w:t>
      </w:r>
      <w:r w:rsidR="00B2385E" w:rsidRPr="004F3441">
        <w:t>accordance with the requirements of PURA, the Administrative Procedure Act,</w:t>
      </w:r>
      <w:r w:rsidR="00603606" w:rsidRPr="004F3441">
        <w:rPr>
          <w:rStyle w:val="FootnoteReference"/>
        </w:rPr>
        <w:footnoteReference w:id="6"/>
      </w:r>
      <w:r w:rsidR="00B2385E" w:rsidRPr="004F3441">
        <w:t xml:space="preserve"> and Commission rules.</w:t>
      </w:r>
    </w:p>
    <w:p w14:paraId="40E67BF5" w14:textId="6BE1D005" w:rsidR="00B257B0" w:rsidRPr="004F3441" w:rsidRDefault="00B257B0" w:rsidP="00B257B0">
      <w:pPr>
        <w:pStyle w:val="COLNumbered"/>
      </w:pPr>
      <w:r>
        <w:t xml:space="preserve">SOAH exercised jurisdiction over this proceeding in accordance with PURA </w:t>
      </w:r>
      <w:r w:rsidRPr="004F3441">
        <w:t>§</w:t>
      </w:r>
      <w:r>
        <w:t xml:space="preserve"> 14.052 and Texas Government Code </w:t>
      </w:r>
      <w:r w:rsidRPr="004F3441">
        <w:t>§</w:t>
      </w:r>
      <w:r>
        <w:t xml:space="preserve"> 2003.049.</w:t>
      </w:r>
    </w:p>
    <w:p w14:paraId="0CBC86D3" w14:textId="241EB941" w:rsidR="00B2385E" w:rsidRDefault="00B2385E" w:rsidP="00B2385E">
      <w:pPr>
        <w:pStyle w:val="COLNumbered"/>
      </w:pPr>
      <w:r w:rsidRPr="004F3441">
        <w:t xml:space="preserve">ETI’s </w:t>
      </w:r>
      <w:r w:rsidR="00B257B0">
        <w:t xml:space="preserve">provided </w:t>
      </w:r>
      <w:r w:rsidRPr="004F3441">
        <w:t xml:space="preserve">notice </w:t>
      </w:r>
      <w:r w:rsidR="00B257B0">
        <w:t xml:space="preserve">of the application in accordance with 16 TAC </w:t>
      </w:r>
      <w:r w:rsidR="00B257B0" w:rsidRPr="004F3441">
        <w:t>§</w:t>
      </w:r>
      <w:r w:rsidR="00B257B0">
        <w:t xml:space="preserve"> 25.182(d)(13) and 16 TAC </w:t>
      </w:r>
      <w:r w:rsidR="00B257B0" w:rsidRPr="004F3441">
        <w:t>§</w:t>
      </w:r>
      <w:r w:rsidR="00B257B0">
        <w:t xml:space="preserve"> 22.55 and filed an affidavit attesting to the completion of notice as required by</w:t>
      </w:r>
      <w:r w:rsidRPr="004F3441">
        <w:t xml:space="preserve"> </w:t>
      </w:r>
      <w:r w:rsidR="00B257B0">
        <w:t>1</w:t>
      </w:r>
      <w:r w:rsidRPr="004F3441">
        <w:t>6 TAC § 25.18</w:t>
      </w:r>
      <w:r w:rsidR="00B257B0">
        <w:t>2</w:t>
      </w:r>
      <w:r w:rsidRPr="004F3441">
        <w:t>(</w:t>
      </w:r>
      <w:r w:rsidR="00B257B0">
        <w:t>d</w:t>
      </w:r>
      <w:r w:rsidRPr="004F3441">
        <w:t>)(1</w:t>
      </w:r>
      <w:r w:rsidR="00B257B0">
        <w:t>4</w:t>
      </w:r>
      <w:r w:rsidRPr="004F3441">
        <w:t>).</w:t>
      </w:r>
    </w:p>
    <w:p w14:paraId="658D67FE" w14:textId="12D1F126" w:rsidR="00A13CA2" w:rsidRDefault="00A13CA2" w:rsidP="00B2385E">
      <w:pPr>
        <w:pStyle w:val="COLNumbered"/>
      </w:pPr>
      <w:r>
        <w:t xml:space="preserve">ETI’s application is </w:t>
      </w:r>
      <w:proofErr w:type="gramStart"/>
      <w:r>
        <w:t>sufficient</w:t>
      </w:r>
      <w:proofErr w:type="gramEnd"/>
      <w:r>
        <w:t xml:space="preserve"> under 16 TAC </w:t>
      </w:r>
      <w:r w:rsidRPr="004F3441">
        <w:t>§</w:t>
      </w:r>
      <w:r>
        <w:t xml:space="preserve"> 25.182(d)(10) and (11).</w:t>
      </w:r>
    </w:p>
    <w:p w14:paraId="1B1CFC79" w14:textId="6E51C2E6" w:rsidR="00A13CA2" w:rsidRDefault="00A13CA2" w:rsidP="00B2385E">
      <w:pPr>
        <w:pStyle w:val="COLNumbered"/>
      </w:pPr>
      <w:r>
        <w:t xml:space="preserve">The hearing on the merits was set and notice of the hearing was given in compliance with Texas Government Code </w:t>
      </w:r>
      <w:r w:rsidRPr="004F3441">
        <w:t>§§</w:t>
      </w:r>
      <w:r>
        <w:t xml:space="preserve"> 2001.051 and 2001.052.</w:t>
      </w:r>
    </w:p>
    <w:p w14:paraId="51AEE000" w14:textId="428C11DE" w:rsidR="00A13CA2" w:rsidRDefault="00A13CA2" w:rsidP="00B2385E">
      <w:pPr>
        <w:pStyle w:val="COLNumbered"/>
      </w:pPr>
      <w:r>
        <w:lastRenderedPageBreak/>
        <w:t xml:space="preserve">ETI calculated its weather-adjusted average annual growth in demand in compliance with 16 TAC </w:t>
      </w:r>
      <w:r w:rsidRPr="004F3441">
        <w:t>§</w:t>
      </w:r>
      <w:r>
        <w:t xml:space="preserve"> 25.181(e)(3).</w:t>
      </w:r>
    </w:p>
    <w:p w14:paraId="12965528" w14:textId="49B5BEBD" w:rsidR="00945442" w:rsidRDefault="00945442" w:rsidP="00B2385E">
      <w:pPr>
        <w:pStyle w:val="COLNumbered"/>
      </w:pPr>
      <w:r>
        <w:t xml:space="preserve">ETI’s has acquired a 30% reduction of its annual growth in demand or residential and commercial customers in compliance with 16 TAC </w:t>
      </w:r>
      <w:r w:rsidRPr="004F3441">
        <w:t>§</w:t>
      </w:r>
      <w:r>
        <w:t xml:space="preserve"> 25.181</w:t>
      </w:r>
      <w:r w:rsidR="00A018F4">
        <w:t>(e)</w:t>
      </w:r>
      <w:r>
        <w:t>(1)(B) and (C).</w:t>
      </w:r>
    </w:p>
    <w:p w14:paraId="6D1DDA4D" w14:textId="687B72F9" w:rsidR="00945442" w:rsidRDefault="00945442" w:rsidP="00B2385E">
      <w:pPr>
        <w:pStyle w:val="COLNumbered"/>
      </w:pPr>
      <w:r>
        <w:t xml:space="preserve">ETI’s minimum energy savings goal was calculated in compliance with 16 TAC </w:t>
      </w:r>
      <w:r w:rsidRPr="004F3441">
        <w:t>§</w:t>
      </w:r>
      <w:r>
        <w:t xml:space="preserve"> 25.181(e)(4).</w:t>
      </w:r>
    </w:p>
    <w:p w14:paraId="3C48CD6F" w14:textId="1925374B" w:rsidR="00945442" w:rsidRDefault="00945442" w:rsidP="00B2385E">
      <w:pPr>
        <w:pStyle w:val="COLNumbered"/>
      </w:pPr>
      <w:r>
        <w:t xml:space="preserve">ETI’s portfolio of energy efficiency programs effectively and efficiently achieves the goals set out in PURA </w:t>
      </w:r>
      <w:r w:rsidRPr="004F3441">
        <w:t>§</w:t>
      </w:r>
      <w:r>
        <w:t xml:space="preserve"> 39.905(a) and 16 TAC </w:t>
      </w:r>
      <w:r w:rsidRPr="004F3441">
        <w:t>§</w:t>
      </w:r>
      <w:r>
        <w:t xml:space="preserve"> 25.181 as required by 16 TAC </w:t>
      </w:r>
      <w:r w:rsidRPr="004F3441">
        <w:t>§</w:t>
      </w:r>
      <w:r>
        <w:t xml:space="preserve"> 25.181(e)(5).</w:t>
      </w:r>
    </w:p>
    <w:p w14:paraId="43C6F59D" w14:textId="4BC11FD2" w:rsidR="00993B8C" w:rsidRDefault="00993B8C" w:rsidP="00B2385E">
      <w:pPr>
        <w:pStyle w:val="COLNumbered"/>
      </w:pPr>
      <w:r>
        <w:t xml:space="preserve">ETI’s proposed EECRF rates comply with the requirement for cost caps under 16 TAC </w:t>
      </w:r>
      <w:r w:rsidRPr="004F3441">
        <w:t>§</w:t>
      </w:r>
      <w:r>
        <w:t xml:space="preserve"> 25.182(d)(7).</w:t>
      </w:r>
    </w:p>
    <w:p w14:paraId="6A256D63" w14:textId="5C63477A" w:rsidR="00945442" w:rsidRDefault="00945442" w:rsidP="00B2385E">
      <w:pPr>
        <w:pStyle w:val="COLNumbered"/>
      </w:pPr>
      <w:r>
        <w:t>ETI’s refund of $1,386,</w:t>
      </w:r>
      <w:r w:rsidR="008B11F8">
        <w:t xml:space="preserve">610 </w:t>
      </w:r>
      <w:r>
        <w:t xml:space="preserve">for ETI’s net over-recovery of ETI’s 2018 program-year energy efficiency costs </w:t>
      </w:r>
      <w:proofErr w:type="gramStart"/>
      <w:r>
        <w:t>is in compliance with</w:t>
      </w:r>
      <w:proofErr w:type="gramEnd"/>
      <w:r>
        <w:t xml:space="preserve"> PURA </w:t>
      </w:r>
      <w:r w:rsidRPr="004F3441">
        <w:t>§</w:t>
      </w:r>
      <w:r>
        <w:t xml:space="preserve"> 39.905(b-l) and 16 TAC </w:t>
      </w:r>
      <w:r w:rsidRPr="004F3441">
        <w:t>§</w:t>
      </w:r>
      <w:r>
        <w:t xml:space="preserve"> 25.182(d)(2).</w:t>
      </w:r>
    </w:p>
    <w:p w14:paraId="19E163B8" w14:textId="4D76B68E" w:rsidR="00945442" w:rsidRDefault="00945442" w:rsidP="00B2385E">
      <w:pPr>
        <w:pStyle w:val="COLNumbered"/>
      </w:pPr>
      <w:r>
        <w:t>EECRF proceeding expenses are rate case expenses.</w:t>
      </w:r>
    </w:p>
    <w:p w14:paraId="5E463EAD" w14:textId="591942A6" w:rsidR="00945442" w:rsidRDefault="00945442" w:rsidP="00B2385E">
      <w:pPr>
        <w:pStyle w:val="COLNumbered"/>
      </w:pPr>
      <w:r>
        <w:t xml:space="preserve">The requirement of 16 TAC </w:t>
      </w:r>
      <w:r w:rsidRPr="004F3441">
        <w:t>§§</w:t>
      </w:r>
      <w:r>
        <w:t xml:space="preserve"> 25.182(d)(3)(A) and 25.245 apply to the recovery of EECRF proceeding expenses.</w:t>
      </w:r>
    </w:p>
    <w:p w14:paraId="391EC142" w14:textId="268CA22C" w:rsidR="00945442" w:rsidRDefault="00945442" w:rsidP="00B2385E">
      <w:pPr>
        <w:pStyle w:val="COLNumbered"/>
      </w:pPr>
      <w:r>
        <w:t xml:space="preserve">ETI’s 2018 rate case expenses </w:t>
      </w:r>
      <w:r w:rsidR="00993B8C">
        <w:t xml:space="preserve">of $98,064 </w:t>
      </w:r>
      <w:r>
        <w:t xml:space="preserve">comply with PURA </w:t>
      </w:r>
      <w:r w:rsidRPr="004F3441">
        <w:t>§</w:t>
      </w:r>
      <w:r>
        <w:t xml:space="preserve"> </w:t>
      </w:r>
      <w:r w:rsidR="00844F25">
        <w:t>3</w:t>
      </w:r>
      <w:r>
        <w:t xml:space="preserve">6.061(b)(2), 16 TAC </w:t>
      </w:r>
      <w:r w:rsidRPr="004F3441">
        <w:t>§</w:t>
      </w:r>
      <w:r>
        <w:t xml:space="preserve"> 25.182(d)(3)(A), and 25.24</w:t>
      </w:r>
      <w:r w:rsidR="00993B8C">
        <w:t>5</w:t>
      </w:r>
      <w:r>
        <w:t>.</w:t>
      </w:r>
    </w:p>
    <w:p w14:paraId="1B4A9661" w14:textId="1D80EA57" w:rsidR="00993B8C" w:rsidRDefault="00993B8C" w:rsidP="00B2385E">
      <w:pPr>
        <w:pStyle w:val="COLNumbered"/>
      </w:pPr>
      <w:r>
        <w:t xml:space="preserve">Cities’ 2018 rate case expenses of $11,273 comply with PURA </w:t>
      </w:r>
      <w:r w:rsidRPr="004F3441">
        <w:t>§</w:t>
      </w:r>
      <w:r>
        <w:t xml:space="preserve"> 33.023(a) and 16 TAC </w:t>
      </w:r>
      <w:r w:rsidRPr="004F3441">
        <w:t>§§</w:t>
      </w:r>
      <w:r>
        <w:t xml:space="preserve"> 25.182(d)(3)(B) and 25.245.</w:t>
      </w:r>
    </w:p>
    <w:p w14:paraId="75AAC78C" w14:textId="18DE6812" w:rsidR="00993B8C" w:rsidRDefault="00993B8C" w:rsidP="00B2385E">
      <w:pPr>
        <w:pStyle w:val="COLNumbered"/>
      </w:pPr>
      <w:r>
        <w:t>ETI qualified for an energy efficiency performance bonus of $1,673,</w:t>
      </w:r>
      <w:r w:rsidR="008B11F8">
        <w:t xml:space="preserve">207 </w:t>
      </w:r>
      <w:r>
        <w:t xml:space="preserve">for its energy efficiency achievements in program year 2018 as allowed by PURA </w:t>
      </w:r>
      <w:r w:rsidRPr="004F3441">
        <w:t>§</w:t>
      </w:r>
      <w:r>
        <w:t xml:space="preserve"> 39.905(b)(2) and in compliance with 16 TAC </w:t>
      </w:r>
      <w:r w:rsidRPr="004F3441">
        <w:t>§</w:t>
      </w:r>
      <w:r>
        <w:t xml:space="preserve"> 25.182(e).</w:t>
      </w:r>
    </w:p>
    <w:p w14:paraId="12B2B7DA" w14:textId="2D9909E6" w:rsidR="00993B8C" w:rsidRDefault="00993B8C" w:rsidP="00B2385E">
      <w:pPr>
        <w:pStyle w:val="COLNumbered"/>
      </w:pPr>
      <w:r>
        <w:t xml:space="preserve">ETI’s amounts and allocation of its administration and research and development costs comply with 16 TAC </w:t>
      </w:r>
      <w:r w:rsidRPr="004F3441">
        <w:t>§</w:t>
      </w:r>
      <w:r>
        <w:t xml:space="preserve"> 25.181(g).</w:t>
      </w:r>
    </w:p>
    <w:p w14:paraId="631D9126" w14:textId="080C9489" w:rsidR="00993B8C" w:rsidRPr="004F3441" w:rsidRDefault="00993B8C" w:rsidP="00B2385E">
      <w:pPr>
        <w:pStyle w:val="COLNumbered"/>
      </w:pPr>
      <w:r>
        <w:t xml:space="preserve">ETI’s energy efficiency programs adhere to the cost-effectiveness standards contained in 16 TAC </w:t>
      </w:r>
      <w:r w:rsidRPr="004F3441">
        <w:t>§</w:t>
      </w:r>
      <w:r>
        <w:t xml:space="preserve"> </w:t>
      </w:r>
      <w:r w:rsidR="00A91C3F">
        <w:t>25.181(d).</w:t>
      </w:r>
    </w:p>
    <w:p w14:paraId="6DB292AD" w14:textId="7C363AD0" w:rsidR="00A91C3F" w:rsidRDefault="00A91C3F" w:rsidP="00B2385E">
      <w:pPr>
        <w:pStyle w:val="COLNumbered"/>
      </w:pPr>
      <w:r>
        <w:lastRenderedPageBreak/>
        <w:t xml:space="preserve">ETI’s </w:t>
      </w:r>
      <w:r w:rsidR="00372515">
        <w:t xml:space="preserve">2020 </w:t>
      </w:r>
      <w:r>
        <w:t xml:space="preserve">energy efficiency program costs, not including EM&amp;V expenses to be collected in </w:t>
      </w:r>
      <w:r w:rsidR="00372515">
        <w:t>2020</w:t>
      </w:r>
      <w:r>
        <w:t>, of $7,508,671</w:t>
      </w:r>
      <w:r w:rsidRPr="00A91C3F">
        <w:t>, to be recovered through</w:t>
      </w:r>
      <w:r>
        <w:t xml:space="preserve"> the EECRF are reasonable estimates for the costs necessary to provide energy efficiency programs in </w:t>
      </w:r>
      <w:r w:rsidR="00372515">
        <w:t xml:space="preserve">2020 </w:t>
      </w:r>
      <w:r>
        <w:t xml:space="preserve">under PURA </w:t>
      </w:r>
      <w:r w:rsidRPr="004F3441">
        <w:t>§</w:t>
      </w:r>
      <w:r>
        <w:t xml:space="preserve"> 39.905 and 16 TAC </w:t>
      </w:r>
      <w:r w:rsidRPr="004F3441">
        <w:t>§</w:t>
      </w:r>
      <w:r>
        <w:t xml:space="preserve"> 25.182(d)(1).</w:t>
      </w:r>
    </w:p>
    <w:p w14:paraId="07276E9E" w14:textId="4CC597D6" w:rsidR="00A91C3F" w:rsidRDefault="00A91C3F" w:rsidP="00B2385E">
      <w:pPr>
        <w:pStyle w:val="COLNumbered"/>
      </w:pPr>
      <w:r>
        <w:t xml:space="preserve">ETI’s cost recovery of </w:t>
      </w:r>
      <w:r w:rsidR="008E446E">
        <w:t xml:space="preserve">$502,113—which consists of ETI’s projected </w:t>
      </w:r>
      <w:r w:rsidR="00775E79">
        <w:t>EM&amp;V expenses to be incurred in 2020, ETI’s refund of its net over-recovery of program year 2018 energy efficiency costs, ETI’s performance bonus earned in 2018, ETI’s rate case expenses incurred in Docket No. 48333, and Cities’ rate case expenses incurred in Docket No. 48333</w:t>
      </w:r>
      <w:r w:rsidR="008E446E">
        <w:t>—</w:t>
      </w:r>
      <w:r w:rsidR="00775E79">
        <w:t>complies</w:t>
      </w:r>
      <w:r w:rsidR="008E446E">
        <w:t xml:space="preserve"> </w:t>
      </w:r>
      <w:r w:rsidR="00775E79">
        <w:t xml:space="preserve">with PURA </w:t>
      </w:r>
      <w:r w:rsidR="00775E79" w:rsidRPr="004F3441">
        <w:t>§</w:t>
      </w:r>
      <w:r w:rsidR="00775E79">
        <w:t xml:space="preserve"> 39.905 and 16 TAC </w:t>
      </w:r>
      <w:r w:rsidR="00775E79" w:rsidRPr="004F3441">
        <w:t>§</w:t>
      </w:r>
      <w:r w:rsidR="00775E79">
        <w:t xml:space="preserve"> 25.182(d).</w:t>
      </w:r>
    </w:p>
    <w:p w14:paraId="2F051528" w14:textId="60DCA90E" w:rsidR="00775E79" w:rsidRDefault="00775E79" w:rsidP="00B2385E">
      <w:pPr>
        <w:pStyle w:val="COLNumbered"/>
      </w:pPr>
      <w:r>
        <w:t xml:space="preserve">ETI’s assignments and allocations of its proposed 2020 EECRF rates to each rate class are reasonable and as required by PURA </w:t>
      </w:r>
      <w:r w:rsidRPr="004F3441">
        <w:t>§</w:t>
      </w:r>
      <w:r>
        <w:t xml:space="preserve"> 39.905(b)(4) and 16 TAC </w:t>
      </w:r>
      <w:r w:rsidRPr="004F3441">
        <w:t>§</w:t>
      </w:r>
      <w:r>
        <w:t xml:space="preserve"> 25.182(d)(2).</w:t>
      </w:r>
    </w:p>
    <w:p w14:paraId="0C4E6677" w14:textId="1964D667" w:rsidR="00775E79" w:rsidRDefault="00775E79" w:rsidP="00B2385E">
      <w:pPr>
        <w:pStyle w:val="COLNumbered"/>
      </w:pPr>
      <w:r>
        <w:t xml:space="preserve">ETI’s has adopted measures to foster competition among energy efficiency service providers in compliance with 16 TAC </w:t>
      </w:r>
      <w:r w:rsidRPr="004F3441">
        <w:t>§</w:t>
      </w:r>
      <w:r>
        <w:t xml:space="preserve"> 25.181(g)(2). </w:t>
      </w:r>
    </w:p>
    <w:p w14:paraId="4C81FBF1" w14:textId="1EED0404" w:rsidR="00775E79" w:rsidRDefault="00775E79" w:rsidP="00705A52">
      <w:pPr>
        <w:pStyle w:val="COLNumbered"/>
      </w:pPr>
      <w:r>
        <w:t xml:space="preserve">ETI’s standard offer and market transformation programs comply with PURA </w:t>
      </w:r>
      <w:r w:rsidRPr="004F3441">
        <w:t>§</w:t>
      </w:r>
      <w:r>
        <w:t xml:space="preserve"> 39.905(a)(3) and 16 TAC </w:t>
      </w:r>
      <w:r w:rsidR="00705A52" w:rsidRPr="00705A52">
        <w:t>§</w:t>
      </w:r>
      <w:r w:rsidR="00705A52">
        <w:t xml:space="preserve"> </w:t>
      </w:r>
      <w:r>
        <w:t>25.181(h-</w:t>
      </w:r>
      <w:proofErr w:type="spellStart"/>
      <w:r>
        <w:t>i</w:t>
      </w:r>
      <w:proofErr w:type="spellEnd"/>
      <w:r>
        <w:t>).</w:t>
      </w:r>
    </w:p>
    <w:p w14:paraId="277341D2" w14:textId="52B2D986" w:rsidR="00775E79" w:rsidRDefault="00775E79" w:rsidP="00B2385E">
      <w:pPr>
        <w:pStyle w:val="COLNumbered"/>
      </w:pPr>
      <w:r>
        <w:t xml:space="preserve">ETI’s incentive payments, which did not exceed 100% of avoided cost, comply with 16 TAC </w:t>
      </w:r>
      <w:r w:rsidRPr="004F3441">
        <w:t>§</w:t>
      </w:r>
      <w:r>
        <w:t xml:space="preserve"> 25.181(f).</w:t>
      </w:r>
    </w:p>
    <w:p w14:paraId="324FCFF5" w14:textId="7EAE9D1C" w:rsidR="00775E79" w:rsidRDefault="00775E79" w:rsidP="00705A52">
      <w:pPr>
        <w:pStyle w:val="COLNumbered"/>
      </w:pPr>
      <w:r>
        <w:t xml:space="preserve">The affiliate expenses included in ETI’s EECRF rates in this Order are reasonable and necessary and in accordance with PURA </w:t>
      </w:r>
      <w:r w:rsidRPr="004F3441">
        <w:t>§</w:t>
      </w:r>
      <w:r>
        <w:t xml:space="preserve"> 36.058, 16 TAC </w:t>
      </w:r>
      <w:r w:rsidRPr="004F3441">
        <w:t>§</w:t>
      </w:r>
      <w:r w:rsidR="00705A52" w:rsidRPr="00705A52">
        <w:t>§</w:t>
      </w:r>
      <w:r>
        <w:t xml:space="preserve"> </w:t>
      </w:r>
      <w:r w:rsidR="00705A52">
        <w:t xml:space="preserve">25.181(c)(1)(I), </w:t>
      </w:r>
      <w:r w:rsidR="00B8201F">
        <w:t>25.182(d)(10)(I), and 25.272(e).</w:t>
      </w:r>
    </w:p>
    <w:p w14:paraId="28C710F8" w14:textId="2E3DF2C5" w:rsidR="00B8201F" w:rsidRDefault="00B8201F" w:rsidP="00B2385E">
      <w:pPr>
        <w:pStyle w:val="COLNumbered"/>
      </w:pPr>
      <w:r>
        <w:t xml:space="preserve">ETI’s load associated with industrial customers who provided qualifying identification notices were excluded from ETI’s calculated demand reduction goal in accordance with 16 TAC </w:t>
      </w:r>
      <w:r w:rsidRPr="004F3441">
        <w:t>§</w:t>
      </w:r>
      <w:r>
        <w:t xml:space="preserve"> 25.181(u).</w:t>
      </w:r>
    </w:p>
    <w:p w14:paraId="09065A74" w14:textId="7DB0077D" w:rsidR="00B8201F" w:rsidRDefault="00B8201F" w:rsidP="00060B4B">
      <w:pPr>
        <w:pStyle w:val="COLNumbered"/>
      </w:pPr>
      <w:r>
        <w:t xml:space="preserve">ETI’s proposed 2020 EECRF rates are just and reasonable, not unreasonably preferential, prejudicial, or discriminatory and are </w:t>
      </w:r>
      <w:proofErr w:type="gramStart"/>
      <w:r>
        <w:t>sufficient</w:t>
      </w:r>
      <w:proofErr w:type="gramEnd"/>
      <w:r>
        <w:t xml:space="preserve">, equitable, and consistent in application to each customer class as required by PURA </w:t>
      </w:r>
      <w:r w:rsidRPr="004F3441">
        <w:t>§</w:t>
      </w:r>
      <w:r>
        <w:t xml:space="preserve"> 36.003.</w:t>
      </w:r>
    </w:p>
    <w:p w14:paraId="03CF88C8" w14:textId="5377A58F" w:rsidR="00B2385E" w:rsidRDefault="00B8201F" w:rsidP="000163C0">
      <w:pPr>
        <w:pStyle w:val="COLNumbered"/>
      </w:pPr>
      <w:r>
        <w:t xml:space="preserve">The requirements for informal disposition under 16 TAC </w:t>
      </w:r>
      <w:r w:rsidRPr="004F3441">
        <w:t>§</w:t>
      </w:r>
      <w:r>
        <w:t xml:space="preserve"> 22.35 have been met in this proceeding.</w:t>
      </w:r>
    </w:p>
    <w:p w14:paraId="4BBF2152" w14:textId="77777777" w:rsidR="00EE5DDA" w:rsidRDefault="00EE5DDA" w:rsidP="00EE5DDA">
      <w:pPr>
        <w:pStyle w:val="Heading1"/>
      </w:pPr>
      <w:r>
        <w:lastRenderedPageBreak/>
        <w:t>Ordering Paragraphs</w:t>
      </w:r>
    </w:p>
    <w:p w14:paraId="7E6E1742" w14:textId="77777777" w:rsidR="008D1724" w:rsidRPr="008D1724" w:rsidRDefault="008D1724" w:rsidP="008D1724">
      <w:pPr>
        <w:pStyle w:val="BodyText"/>
      </w:pPr>
      <w:r>
        <w:t>In accordance with these findings of fact and conclusions of law, the Commission issues the following orders:</w:t>
      </w:r>
    </w:p>
    <w:p w14:paraId="607F4253" w14:textId="4EC7C2E5" w:rsidR="00B2385E" w:rsidRDefault="00542B86" w:rsidP="00B2385E">
      <w:pPr>
        <w:pStyle w:val="OrderingParagraph"/>
      </w:pPr>
      <w:r>
        <w:t xml:space="preserve">The Commission approves ETI’s EECRF, as modified by the </w:t>
      </w:r>
      <w:r w:rsidR="005906D7">
        <w:t>A</w:t>
      </w:r>
      <w:r>
        <w:t>greement, to the extent provided in this Order.</w:t>
      </w:r>
    </w:p>
    <w:p w14:paraId="0D205408" w14:textId="63CDF45F" w:rsidR="00F53DDA" w:rsidRDefault="00542B86" w:rsidP="00B2385E">
      <w:pPr>
        <w:pStyle w:val="OrderingParagraph"/>
      </w:pPr>
      <w:r>
        <w:t xml:space="preserve">ETI’s 2020 EECRF is approved in the amount of </w:t>
      </w:r>
      <w:r w:rsidR="008E367B">
        <w:t xml:space="preserve">$8,010,785, which is </w:t>
      </w:r>
      <w:r w:rsidR="00B2385E">
        <w:t>comprised of</w:t>
      </w:r>
      <w:r w:rsidR="00A018F4">
        <w:t>:</w:t>
      </w:r>
      <w:r w:rsidR="00B2385E">
        <w:t xml:space="preserve"> </w:t>
      </w:r>
      <w:r w:rsidR="00F53DDA">
        <w:t>(a</w:t>
      </w:r>
      <w:r w:rsidR="00F53DDA" w:rsidRPr="00B66B4E">
        <w:t>)</w:t>
      </w:r>
      <w:r w:rsidR="008E367B">
        <w:t xml:space="preserve"> the estimated 2020 energy efficiency program costs of $7,508,671;</w:t>
      </w:r>
      <w:r w:rsidR="00F53DDA">
        <w:t xml:space="preserve"> (b</w:t>
      </w:r>
      <w:r w:rsidR="00F53DDA" w:rsidRPr="00B66B4E">
        <w:t xml:space="preserve">) </w:t>
      </w:r>
      <w:r w:rsidR="008E367B">
        <w:t>a performance bonus for 2018 program achievements of $1,673,</w:t>
      </w:r>
      <w:r w:rsidR="008B11F8">
        <w:t>207</w:t>
      </w:r>
      <w:r w:rsidR="008E367B">
        <w:t>;</w:t>
      </w:r>
      <w:r w:rsidR="00F53DDA">
        <w:t xml:space="preserve"> (c</w:t>
      </w:r>
      <w:r w:rsidR="00F53DDA" w:rsidRPr="00B66B4E">
        <w:t xml:space="preserve">) </w:t>
      </w:r>
      <w:r w:rsidR="008E367B">
        <w:t xml:space="preserve">$106,180 in EM&amp;V expenses to be collected in 2020; </w:t>
      </w:r>
      <w:r w:rsidR="00F53DDA">
        <w:t xml:space="preserve">(d) </w:t>
      </w:r>
      <w:r w:rsidR="00342062">
        <w:t>($1,386,</w:t>
      </w:r>
      <w:r w:rsidR="008B11F8">
        <w:t>610</w:t>
      </w:r>
      <w:r w:rsidR="00342062">
        <w:t>) for the over-recovery of 2018 program costs; and (e) $11,273 for Cities’ rate case expenses and $98,064 for ETI’s rate case expenses in Docket No. 48333</w:t>
      </w:r>
      <w:r w:rsidR="00F53DDA" w:rsidRPr="00B66B4E">
        <w:t>.</w:t>
      </w:r>
    </w:p>
    <w:p w14:paraId="2DC50500" w14:textId="1030A3BC" w:rsidR="00342062" w:rsidRDefault="00342062" w:rsidP="00B2385E">
      <w:pPr>
        <w:pStyle w:val="OrderingParagraph"/>
      </w:pPr>
      <w:r>
        <w:t xml:space="preserve">The Commission approves the schedule for ETI’s EECRF tariff rider, which is included as Attachment </w:t>
      </w:r>
      <w:r w:rsidR="000152AB">
        <w:t>2</w:t>
      </w:r>
      <w:r>
        <w:t xml:space="preserve"> to the </w:t>
      </w:r>
      <w:r w:rsidR="005906D7">
        <w:t>A</w:t>
      </w:r>
      <w:r>
        <w:t>greement.</w:t>
      </w:r>
    </w:p>
    <w:p w14:paraId="20874371" w14:textId="1D3DE4F1" w:rsidR="00342062" w:rsidRDefault="00342062" w:rsidP="00B2385E">
      <w:pPr>
        <w:pStyle w:val="OrderingParagraph"/>
      </w:pPr>
      <w:r>
        <w:t>ETI is authorized to apply the EECRF tariff rider approved by this Order beginning on and after January 1, 2020.</w:t>
      </w:r>
    </w:p>
    <w:p w14:paraId="6A84BE46" w14:textId="661A241B" w:rsidR="00342062" w:rsidRDefault="00342062" w:rsidP="00B2385E">
      <w:pPr>
        <w:pStyle w:val="OrderingParagraph"/>
      </w:pPr>
      <w:r>
        <w:t>Within 1</w:t>
      </w:r>
      <w:bookmarkStart w:id="1" w:name="_GoBack"/>
      <w:bookmarkEnd w:id="1"/>
      <w:r>
        <w:t>0 days of this Order, ETI must file with the Commission a clean copy of the approved EECRF tariff to be stamped “approved” and retained by Central Records.</w:t>
      </w:r>
    </w:p>
    <w:p w14:paraId="13E81E97" w14:textId="4352AE80" w:rsidR="00342062" w:rsidRDefault="00342062" w:rsidP="00B2385E">
      <w:pPr>
        <w:pStyle w:val="OrderingParagraph"/>
      </w:pPr>
      <w:r>
        <w:t xml:space="preserve">Entry of this Order does not indicate the Commission’s endorsement or approval of any principle or methodology that underlies the </w:t>
      </w:r>
      <w:r w:rsidR="005906D7">
        <w:t>A</w:t>
      </w:r>
      <w:r>
        <w:t>greement and must not be regarded as precedential as to</w:t>
      </w:r>
      <w:r w:rsidR="00A018F4">
        <w:t xml:space="preserve"> the</w:t>
      </w:r>
      <w:r>
        <w:t xml:space="preserve"> appropriateness of any principle or methodology underlying the </w:t>
      </w:r>
      <w:r w:rsidR="005906D7">
        <w:t>A</w:t>
      </w:r>
      <w:r>
        <w:t xml:space="preserve">greement. </w:t>
      </w:r>
    </w:p>
    <w:p w14:paraId="34D1B976" w14:textId="3F0F69CF" w:rsidR="00342062" w:rsidRDefault="00342062" w:rsidP="00B2385E">
      <w:pPr>
        <w:pStyle w:val="OrderingParagraph"/>
      </w:pPr>
      <w:r>
        <w:t xml:space="preserve">All other motions and any other requests for general or specific relief, if not expressly granted, are denied. </w:t>
      </w:r>
    </w:p>
    <w:p w14:paraId="5064ED0C" w14:textId="61604D2C" w:rsidR="00C2552F" w:rsidRDefault="00C2552F">
      <w:pPr>
        <w:spacing w:after="160" w:line="259" w:lineRule="auto"/>
      </w:pPr>
      <w:r>
        <w:br w:type="page"/>
      </w:r>
    </w:p>
    <w:p w14:paraId="467D8952" w14:textId="77777777" w:rsidR="00160DCD" w:rsidRDefault="00160DCD" w:rsidP="00160DCD"/>
    <w:p w14:paraId="4AE6BDED" w14:textId="751AEA16" w:rsidR="00160DCD" w:rsidRDefault="00160DCD" w:rsidP="00160DCD">
      <w:pPr>
        <w:pStyle w:val="Dateline"/>
      </w:pPr>
      <w:r>
        <w:t xml:space="preserve">Signed at Austin, Texas the ______ day of </w:t>
      </w:r>
      <w:r w:rsidR="00F53DDA">
        <w:t>[month] 201</w:t>
      </w:r>
      <w:r w:rsidR="00342062">
        <w:t>9</w:t>
      </w:r>
      <w:r w:rsidR="007D68DF">
        <w:t>.</w:t>
      </w:r>
    </w:p>
    <w:p w14:paraId="1110FB67" w14:textId="77777777" w:rsidR="00160DCD" w:rsidRDefault="00160DCD" w:rsidP="008D1724">
      <w:pPr>
        <w:pStyle w:val="Dateline"/>
      </w:pPr>
    </w:p>
    <w:p w14:paraId="53894AC6" w14:textId="77777777" w:rsidR="00160DCD" w:rsidRDefault="00160DCD" w:rsidP="00160DCD">
      <w:pPr>
        <w:pStyle w:val="Signatures"/>
      </w:pPr>
      <w:r>
        <w:t>PUBLIC UTILITY COMMISSION OF TEXAS</w:t>
      </w:r>
    </w:p>
    <w:p w14:paraId="55067C26" w14:textId="77777777" w:rsidR="009D2AE6" w:rsidRDefault="009D2AE6" w:rsidP="00160DCD">
      <w:pPr>
        <w:pStyle w:val="Signatures"/>
      </w:pPr>
    </w:p>
    <w:p w14:paraId="74D59F0F" w14:textId="77777777" w:rsidR="009D2AE6" w:rsidRDefault="009D2AE6" w:rsidP="00160DCD">
      <w:pPr>
        <w:pStyle w:val="Signatures"/>
      </w:pPr>
    </w:p>
    <w:p w14:paraId="4243F9CF" w14:textId="77777777" w:rsidR="009D2AE6" w:rsidRDefault="009D2AE6" w:rsidP="00160DCD">
      <w:pPr>
        <w:pStyle w:val="Signatures"/>
      </w:pPr>
    </w:p>
    <w:p w14:paraId="44D361AD" w14:textId="77777777" w:rsidR="009D2AE6" w:rsidRDefault="009D2AE6" w:rsidP="00160DCD">
      <w:pPr>
        <w:pStyle w:val="Signatures"/>
      </w:pPr>
      <w:r>
        <w:t>______________________________________________</w:t>
      </w:r>
    </w:p>
    <w:p w14:paraId="7C56FDC4" w14:textId="77777777" w:rsidR="009D2AE6" w:rsidRDefault="009D2AE6" w:rsidP="00160DCD">
      <w:pPr>
        <w:pStyle w:val="Signatures"/>
      </w:pPr>
      <w:r>
        <w:t>DEANN T. WALKER, CHAIRMAN</w:t>
      </w:r>
    </w:p>
    <w:p w14:paraId="305232D4" w14:textId="77777777" w:rsidR="00160DCD" w:rsidRDefault="00160DCD" w:rsidP="00160DCD">
      <w:pPr>
        <w:pStyle w:val="Signatures"/>
      </w:pPr>
    </w:p>
    <w:p w14:paraId="5C74B4C6" w14:textId="77777777" w:rsidR="00160DCD" w:rsidRDefault="00160DCD" w:rsidP="00160DCD">
      <w:pPr>
        <w:pStyle w:val="Signatures"/>
      </w:pPr>
    </w:p>
    <w:p w14:paraId="0447EDE5" w14:textId="5B6DF76F" w:rsidR="00160DCD" w:rsidRDefault="00160DCD" w:rsidP="00160DCD">
      <w:pPr>
        <w:pStyle w:val="Signatures"/>
      </w:pPr>
    </w:p>
    <w:p w14:paraId="24BA5091" w14:textId="77777777" w:rsidR="00765D4F" w:rsidRDefault="00765D4F" w:rsidP="00160DCD">
      <w:pPr>
        <w:pStyle w:val="Signatures"/>
      </w:pPr>
    </w:p>
    <w:p w14:paraId="567E1520" w14:textId="77777777" w:rsidR="00160DCD" w:rsidRDefault="00160DCD" w:rsidP="00160DCD">
      <w:pPr>
        <w:pStyle w:val="Signatures"/>
      </w:pPr>
      <w:r w:rsidRPr="00160DCD">
        <w:t>______________________________________________</w:t>
      </w:r>
    </w:p>
    <w:p w14:paraId="3DFD4989" w14:textId="6ED0323C" w:rsidR="00160DCD" w:rsidRDefault="008D1557" w:rsidP="00160DCD">
      <w:pPr>
        <w:pStyle w:val="Signatures"/>
      </w:pPr>
      <w:r>
        <w:t>ARTHUR C. D’ANDREA</w:t>
      </w:r>
      <w:r w:rsidR="00160DCD">
        <w:t>, COMMISSIONER</w:t>
      </w:r>
    </w:p>
    <w:p w14:paraId="38FAEF9A" w14:textId="77777777" w:rsidR="00160DCD" w:rsidRDefault="00160DCD" w:rsidP="00160DCD">
      <w:pPr>
        <w:pStyle w:val="Signatures"/>
      </w:pPr>
    </w:p>
    <w:p w14:paraId="0DC6B0D4" w14:textId="77777777" w:rsidR="00160DCD" w:rsidRDefault="00160DCD" w:rsidP="00160DCD">
      <w:pPr>
        <w:pStyle w:val="Signatures"/>
      </w:pPr>
    </w:p>
    <w:p w14:paraId="1A7A6C3E" w14:textId="77777777" w:rsidR="00160DCD" w:rsidRDefault="00160DCD" w:rsidP="00160DCD">
      <w:pPr>
        <w:pStyle w:val="Signatures"/>
      </w:pPr>
    </w:p>
    <w:p w14:paraId="659734FA" w14:textId="77777777" w:rsidR="00160DCD" w:rsidRDefault="00FF1816" w:rsidP="00160DCD">
      <w:pPr>
        <w:pStyle w:val="Signatures"/>
      </w:pPr>
      <w:r w:rsidRPr="00160DCD">
        <w:t>______________________________________________</w:t>
      </w:r>
    </w:p>
    <w:p w14:paraId="42683C2B" w14:textId="2310F833" w:rsidR="0062202F" w:rsidRPr="00226B32" w:rsidRDefault="00775CC4" w:rsidP="00B5329C">
      <w:pPr>
        <w:pStyle w:val="Signatures"/>
        <w:rPr>
          <w:sz w:val="16"/>
          <w:szCs w:val="16"/>
          <w:highlight w:val="yellow"/>
        </w:rPr>
      </w:pPr>
      <w:r>
        <w:t>SHELLY BOTKIN</w:t>
      </w:r>
      <w:r w:rsidR="00160DCD">
        <w:t>, COMMISSIONER</w:t>
      </w:r>
    </w:p>
    <w:sectPr w:rsidR="0062202F" w:rsidRPr="00226B32" w:rsidSect="00ED04FC">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8400C0" w14:textId="77777777" w:rsidR="00196A9F" w:rsidRDefault="00196A9F" w:rsidP="00D03394">
      <w:r>
        <w:separator/>
      </w:r>
    </w:p>
  </w:endnote>
  <w:endnote w:type="continuationSeparator" w:id="0">
    <w:p w14:paraId="78C14D7D" w14:textId="77777777" w:rsidR="00196A9F" w:rsidRDefault="00196A9F"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27DF45" w14:textId="77777777" w:rsidR="00196A9F" w:rsidRDefault="00196A9F" w:rsidP="00D03394">
      <w:r>
        <w:separator/>
      </w:r>
    </w:p>
  </w:footnote>
  <w:footnote w:type="continuationSeparator" w:id="0">
    <w:p w14:paraId="7237C4C8" w14:textId="77777777" w:rsidR="00196A9F" w:rsidRDefault="00196A9F" w:rsidP="00D03394">
      <w:r>
        <w:continuationSeparator/>
      </w:r>
    </w:p>
  </w:footnote>
  <w:footnote w:id="1">
    <w:p w14:paraId="6FC76ABE" w14:textId="4717834B" w:rsidR="006509AF" w:rsidRDefault="006509AF" w:rsidP="006509AF">
      <w:pPr>
        <w:pStyle w:val="FootnoteText"/>
      </w:pPr>
      <w:r>
        <w:rPr>
          <w:rStyle w:val="FootnoteReference"/>
        </w:rPr>
        <w:footnoteRef/>
      </w:r>
      <w:r>
        <w:t xml:space="preserve"> </w:t>
      </w:r>
      <w:bookmarkStart w:id="0" w:name="_Hlk15561854"/>
      <w:r>
        <w:t>Due to rounding, this amount differs by $</w:t>
      </w:r>
      <w:r w:rsidR="004F3ED4">
        <w:t>2</w:t>
      </w:r>
      <w:r>
        <w:t xml:space="preserve"> from the sum of the four component amounts that follow it.</w:t>
      </w:r>
      <w:bookmarkEnd w:id="0"/>
    </w:p>
  </w:footnote>
  <w:footnote w:id="2">
    <w:p w14:paraId="13405B04" w14:textId="4AFCED74" w:rsidR="004F3ED4" w:rsidRDefault="004F3ED4">
      <w:pPr>
        <w:pStyle w:val="FootnoteText"/>
      </w:pPr>
      <w:r>
        <w:rPr>
          <w:rStyle w:val="FootnoteReference"/>
        </w:rPr>
        <w:footnoteRef/>
      </w:r>
      <w:r>
        <w:t xml:space="preserve"> Due to rounding, this amount differs by $1 from the sum of the four component amounts that follow it.</w:t>
      </w:r>
    </w:p>
  </w:footnote>
  <w:footnote w:id="3">
    <w:p w14:paraId="495F9EAD" w14:textId="77777777" w:rsidR="007D15CC" w:rsidRPr="006060AF" w:rsidRDefault="007D15CC" w:rsidP="007D15CC">
      <w:pPr>
        <w:autoSpaceDE w:val="0"/>
        <w:autoSpaceDN w:val="0"/>
        <w:adjustRightInd w:val="0"/>
        <w:spacing w:after="120"/>
        <w:ind w:firstLine="720"/>
        <w:jc w:val="both"/>
        <w:rPr>
          <w:sz w:val="20"/>
          <w:szCs w:val="20"/>
        </w:rPr>
      </w:pPr>
      <w:r w:rsidRPr="006060AF">
        <w:rPr>
          <w:rStyle w:val="FootnoteReference"/>
          <w:sz w:val="20"/>
          <w:szCs w:val="20"/>
        </w:rPr>
        <w:footnoteRef/>
      </w:r>
      <w:r w:rsidRPr="006060AF">
        <w:rPr>
          <w:sz w:val="20"/>
          <w:szCs w:val="20"/>
        </w:rPr>
        <w:t xml:space="preserve"> </w:t>
      </w:r>
      <w:r w:rsidRPr="006060AF">
        <w:rPr>
          <w:bCs/>
          <w:i/>
          <w:sz w:val="20"/>
          <w:szCs w:val="20"/>
        </w:rPr>
        <w:t xml:space="preserve">Application of Entergy Texas, Inc. </w:t>
      </w:r>
      <w:r>
        <w:rPr>
          <w:bCs/>
          <w:i/>
          <w:sz w:val="20"/>
          <w:szCs w:val="20"/>
        </w:rPr>
        <w:t xml:space="preserve">to Adjust its </w:t>
      </w:r>
      <w:r w:rsidRPr="006060AF">
        <w:rPr>
          <w:bCs/>
          <w:i/>
          <w:sz w:val="20"/>
          <w:szCs w:val="20"/>
        </w:rPr>
        <w:t>Energy Efficiency Cost Recovery Factor</w:t>
      </w:r>
      <w:r w:rsidRPr="006060AF">
        <w:rPr>
          <w:sz w:val="20"/>
          <w:szCs w:val="20"/>
        </w:rPr>
        <w:t xml:space="preserve">, </w:t>
      </w:r>
      <w:r>
        <w:rPr>
          <w:sz w:val="20"/>
          <w:szCs w:val="20"/>
        </w:rPr>
        <w:t>Docket No. 48333, Order (December 10, 2018</w:t>
      </w:r>
      <w:r w:rsidRPr="006060AF">
        <w:rPr>
          <w:sz w:val="20"/>
          <w:szCs w:val="20"/>
        </w:rPr>
        <w:t>).</w:t>
      </w:r>
    </w:p>
  </w:footnote>
  <w:footnote w:id="4">
    <w:p w14:paraId="74573BAB" w14:textId="77777777" w:rsidR="007D15CC" w:rsidRPr="006060AF" w:rsidRDefault="007D15CC" w:rsidP="007D15CC">
      <w:pPr>
        <w:pStyle w:val="FootnoteText"/>
        <w:spacing w:after="120"/>
        <w:jc w:val="both"/>
      </w:pPr>
      <w:r>
        <w:rPr>
          <w:rStyle w:val="FootnoteReference"/>
        </w:rPr>
        <w:footnoteRef/>
      </w:r>
      <w:r>
        <w:t xml:space="preserve"> </w:t>
      </w:r>
      <w:r>
        <w:rPr>
          <w:i/>
        </w:rPr>
        <w:t xml:space="preserve">Entergy Texas, Inc.’s Statement of Intent and Application for Authority to Change Rates, </w:t>
      </w:r>
      <w:r>
        <w:t>Docket No. 48371, Order (December 20, 2018).</w:t>
      </w:r>
    </w:p>
  </w:footnote>
  <w:footnote w:id="5">
    <w:p w14:paraId="1ED6808B" w14:textId="34242A9A" w:rsidR="00E5569A" w:rsidRPr="00DE3881" w:rsidRDefault="00E5569A">
      <w:pPr>
        <w:pStyle w:val="FootnoteText"/>
      </w:pPr>
      <w:r>
        <w:rPr>
          <w:rStyle w:val="FootnoteReference"/>
        </w:rPr>
        <w:footnoteRef/>
      </w:r>
      <w:r>
        <w:t xml:space="preserve"> </w:t>
      </w:r>
      <w:r w:rsidR="00DE3881">
        <w:rPr>
          <w:i/>
        </w:rPr>
        <w:t xml:space="preserve">Application of Entergy Texas, Inc. for Authority to Redetermine Rates for the Energy Efficiency Cost Recovery Factor Tariff and Request to Establish a Revised Energy Efficiency Goal and Cost Caps, </w:t>
      </w:r>
      <w:r w:rsidR="00DE3881">
        <w:t>Docket No. 39366, Application (Apr. 29, 2011).</w:t>
      </w:r>
    </w:p>
  </w:footnote>
  <w:footnote w:id="6">
    <w:p w14:paraId="5ACEE1B5" w14:textId="77777777" w:rsidR="005655A6" w:rsidRDefault="005655A6" w:rsidP="00603606">
      <w:pPr>
        <w:pStyle w:val="FootnoteText"/>
        <w:spacing w:after="120"/>
      </w:pPr>
      <w:r>
        <w:rPr>
          <w:rStyle w:val="FootnoteReference"/>
        </w:rPr>
        <w:footnoteRef/>
      </w:r>
      <w:r>
        <w:t xml:space="preserve"> </w:t>
      </w:r>
      <w:r w:rsidRPr="00543A23">
        <w:t>Tex. Gov</w:t>
      </w:r>
      <w:r>
        <w:t>’</w:t>
      </w:r>
      <w:r w:rsidRPr="00543A23">
        <w:t>t Code Ann.</w:t>
      </w:r>
      <w:r>
        <w:t xml:space="preserve"> §</w:t>
      </w:r>
      <w:r w:rsidRPr="00543A23">
        <w:t xml:space="preserve"> 2001</w:t>
      </w:r>
      <w:r>
        <w:t>.001-.902</w:t>
      </w:r>
      <w:r w:rsidRPr="00543A23">
        <w:t xml:space="preserve"> (West </w:t>
      </w:r>
      <w:r>
        <w:t>2016).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EB3B0A" w14:textId="51B179F4" w:rsidR="005655A6" w:rsidRDefault="00775CC4" w:rsidP="00414C43">
    <w:pPr>
      <w:pStyle w:val="Header"/>
      <w:tabs>
        <w:tab w:val="clear" w:pos="4680"/>
        <w:tab w:val="center" w:pos="5040"/>
      </w:tabs>
    </w:pPr>
    <w:r>
      <w:t>PUC Docket No. 4</w:t>
    </w:r>
    <w:r w:rsidR="006534A0">
      <w:t>9493</w:t>
    </w:r>
    <w:r w:rsidR="005655A6">
      <w:tab/>
      <w:t>Order</w:t>
    </w:r>
    <w:r w:rsidR="005655A6">
      <w:tab/>
      <w:t xml:space="preserve">Page </w:t>
    </w:r>
    <w:r w:rsidR="005655A6">
      <w:fldChar w:fldCharType="begin"/>
    </w:r>
    <w:r w:rsidR="005655A6">
      <w:instrText xml:space="preserve"> PAGE   \* MERGEFORMAT </w:instrText>
    </w:r>
    <w:r w:rsidR="005655A6">
      <w:fldChar w:fldCharType="separate"/>
    </w:r>
    <w:r w:rsidR="00C55A4F">
      <w:rPr>
        <w:noProof/>
      </w:rPr>
      <w:t>4</w:t>
    </w:r>
    <w:r w:rsidR="005655A6">
      <w:fldChar w:fldCharType="end"/>
    </w:r>
    <w:r w:rsidR="005655A6">
      <w:t xml:space="preserve"> of </w:t>
    </w:r>
    <w:r w:rsidR="00AF11BD">
      <w:rPr>
        <w:noProof/>
      </w:rPr>
      <w:fldChar w:fldCharType="begin"/>
    </w:r>
    <w:r w:rsidR="00AF11BD">
      <w:rPr>
        <w:noProof/>
      </w:rPr>
      <w:instrText xml:space="preserve"> NUMPAGES   \* MERGEFORMAT </w:instrText>
    </w:r>
    <w:r w:rsidR="00AF11BD">
      <w:rPr>
        <w:noProof/>
      </w:rPr>
      <w:fldChar w:fldCharType="separate"/>
    </w:r>
    <w:r w:rsidR="00C55A4F">
      <w:rPr>
        <w:noProof/>
      </w:rPr>
      <w:t>16</w:t>
    </w:r>
    <w:r w:rsidR="00AF11BD">
      <w:rPr>
        <w:noProof/>
      </w:rPr>
      <w:fldChar w:fldCharType="end"/>
    </w:r>
  </w:p>
  <w:p w14:paraId="0644B931" w14:textId="03139650" w:rsidR="005655A6" w:rsidRDefault="00775CC4" w:rsidP="006640B9">
    <w:pPr>
      <w:pStyle w:val="Header"/>
      <w:tabs>
        <w:tab w:val="clear" w:pos="9360"/>
      </w:tabs>
    </w:pPr>
    <w:r>
      <w:t>SOAH Docket No. 473-1</w:t>
    </w:r>
    <w:r w:rsidR="006534A0">
      <w:t>9</w:t>
    </w:r>
    <w:r>
      <w:t>-</w:t>
    </w:r>
    <w:r w:rsidR="006534A0">
      <w:t>4420</w:t>
    </w:r>
    <w:r w:rsidR="005655A6">
      <w:tab/>
    </w:r>
  </w:p>
  <w:p w14:paraId="15813604" w14:textId="77777777" w:rsidR="005655A6" w:rsidRDefault="005655A6">
    <w:pPr>
      <w:pStyle w:val="Header"/>
    </w:pPr>
  </w:p>
  <w:p w14:paraId="1901E72F" w14:textId="77777777" w:rsidR="005655A6" w:rsidRDefault="005655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1" w15:restartNumberingAfterBreak="0">
    <w:nsid w:val="0D757C15"/>
    <w:multiLevelType w:val="hybridMultilevel"/>
    <w:tmpl w:val="06E4932A"/>
    <w:lvl w:ilvl="0" w:tplc="923472B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B533E95"/>
    <w:multiLevelType w:val="hybridMultilevel"/>
    <w:tmpl w:val="ABFA2C94"/>
    <w:lvl w:ilvl="0" w:tplc="7696FECC">
      <w:start w:val="1"/>
      <w:numFmt w:val="decimal"/>
      <w:pStyle w:val="ListParagraph"/>
      <w:lvlText w:val="%1."/>
      <w:lvlJc w:val="left"/>
      <w:pPr>
        <w:tabs>
          <w:tab w:val="num" w:pos="1080"/>
        </w:tabs>
        <w:ind w:left="1080" w:hanging="360"/>
      </w:pPr>
      <w:rPr>
        <w:rFonts w:cs="Times New Roman"/>
        <w:b w:val="0"/>
      </w:rPr>
    </w:lvl>
    <w:lvl w:ilvl="1" w:tplc="04090017">
      <w:start w:val="1"/>
      <w:numFmt w:val="lowerLetter"/>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4" w15:restartNumberingAfterBreak="0">
    <w:nsid w:val="2CAC6D65"/>
    <w:multiLevelType w:val="hybridMultilevel"/>
    <w:tmpl w:val="6EE021B2"/>
    <w:lvl w:ilvl="0" w:tplc="E1C62CA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6" w15:restartNumberingAfterBreak="0">
    <w:nsid w:val="644463F0"/>
    <w:multiLevelType w:val="hybridMultilevel"/>
    <w:tmpl w:val="C33203AA"/>
    <w:lvl w:ilvl="0" w:tplc="D0A0101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9"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0" w15:restartNumberingAfterBreak="0">
    <w:nsid w:val="72E87950"/>
    <w:multiLevelType w:val="hybridMultilevel"/>
    <w:tmpl w:val="179C261A"/>
    <w:lvl w:ilvl="0" w:tplc="DC02D07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5"/>
  </w:num>
  <w:num w:numId="3">
    <w:abstractNumId w:val="0"/>
  </w:num>
  <w:num w:numId="4">
    <w:abstractNumId w:val="9"/>
  </w:num>
  <w:num w:numId="5">
    <w:abstractNumId w:val="5"/>
  </w:num>
  <w:num w:numId="6">
    <w:abstractNumId w:val="7"/>
  </w:num>
  <w:num w:numId="7">
    <w:abstractNumId w:val="8"/>
  </w:num>
  <w:num w:numId="8">
    <w:abstractNumId w:val="3"/>
  </w:num>
  <w:num w:numId="9">
    <w:abstractNumId w:val="4"/>
  </w:num>
  <w:num w:numId="10">
    <w:abstractNumId w:val="10"/>
  </w:num>
  <w:num w:numId="11">
    <w:abstractNumId w:val="6"/>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1B9"/>
    <w:rsid w:val="00000D0C"/>
    <w:rsid w:val="000152AB"/>
    <w:rsid w:val="000157B3"/>
    <w:rsid w:val="000163C0"/>
    <w:rsid w:val="0002368E"/>
    <w:rsid w:val="0002741C"/>
    <w:rsid w:val="00056AEF"/>
    <w:rsid w:val="00056F6F"/>
    <w:rsid w:val="00060B4B"/>
    <w:rsid w:val="00065BA2"/>
    <w:rsid w:val="00067359"/>
    <w:rsid w:val="000712A2"/>
    <w:rsid w:val="000853C2"/>
    <w:rsid w:val="00087692"/>
    <w:rsid w:val="000945E6"/>
    <w:rsid w:val="00096038"/>
    <w:rsid w:val="000B488F"/>
    <w:rsid w:val="000D51B9"/>
    <w:rsid w:val="000D7385"/>
    <w:rsid w:val="000E5DBE"/>
    <w:rsid w:val="001169CA"/>
    <w:rsid w:val="00117741"/>
    <w:rsid w:val="00121370"/>
    <w:rsid w:val="00121EBF"/>
    <w:rsid w:val="00134CB8"/>
    <w:rsid w:val="00144332"/>
    <w:rsid w:val="0014665F"/>
    <w:rsid w:val="001514C8"/>
    <w:rsid w:val="00160DCD"/>
    <w:rsid w:val="001644D3"/>
    <w:rsid w:val="00167903"/>
    <w:rsid w:val="00172931"/>
    <w:rsid w:val="00180AC7"/>
    <w:rsid w:val="00183D50"/>
    <w:rsid w:val="0018541A"/>
    <w:rsid w:val="001938D4"/>
    <w:rsid w:val="00196A9F"/>
    <w:rsid w:val="00197008"/>
    <w:rsid w:val="001B58AF"/>
    <w:rsid w:val="001B65CD"/>
    <w:rsid w:val="001D4F4B"/>
    <w:rsid w:val="001D7834"/>
    <w:rsid w:val="001E360C"/>
    <w:rsid w:val="001F5857"/>
    <w:rsid w:val="00216B0F"/>
    <w:rsid w:val="00226B32"/>
    <w:rsid w:val="00231657"/>
    <w:rsid w:val="00232164"/>
    <w:rsid w:val="002423AA"/>
    <w:rsid w:val="00266F9F"/>
    <w:rsid w:val="00292A2A"/>
    <w:rsid w:val="002A7A57"/>
    <w:rsid w:val="002C24FB"/>
    <w:rsid w:val="002D4274"/>
    <w:rsid w:val="00300E03"/>
    <w:rsid w:val="00312838"/>
    <w:rsid w:val="00320E36"/>
    <w:rsid w:val="0032659A"/>
    <w:rsid w:val="00341227"/>
    <w:rsid w:val="00342062"/>
    <w:rsid w:val="003439A9"/>
    <w:rsid w:val="00372515"/>
    <w:rsid w:val="00386E6B"/>
    <w:rsid w:val="00387229"/>
    <w:rsid w:val="0039467F"/>
    <w:rsid w:val="003A1CD5"/>
    <w:rsid w:val="003B7626"/>
    <w:rsid w:val="003B7D8F"/>
    <w:rsid w:val="003C3538"/>
    <w:rsid w:val="003E1B42"/>
    <w:rsid w:val="003F438A"/>
    <w:rsid w:val="003F6735"/>
    <w:rsid w:val="00405A97"/>
    <w:rsid w:val="00414C43"/>
    <w:rsid w:val="00422B9F"/>
    <w:rsid w:val="004268A7"/>
    <w:rsid w:val="00433B5E"/>
    <w:rsid w:val="0046720A"/>
    <w:rsid w:val="00491CE6"/>
    <w:rsid w:val="00493166"/>
    <w:rsid w:val="004A4185"/>
    <w:rsid w:val="004A76E9"/>
    <w:rsid w:val="004C196C"/>
    <w:rsid w:val="004E082A"/>
    <w:rsid w:val="004E56CD"/>
    <w:rsid w:val="004F3441"/>
    <w:rsid w:val="004F3ED4"/>
    <w:rsid w:val="005037C5"/>
    <w:rsid w:val="00521DC2"/>
    <w:rsid w:val="00542B86"/>
    <w:rsid w:val="005607DC"/>
    <w:rsid w:val="005655A6"/>
    <w:rsid w:val="00580D1C"/>
    <w:rsid w:val="005906D7"/>
    <w:rsid w:val="005A2C97"/>
    <w:rsid w:val="005C3512"/>
    <w:rsid w:val="005D0089"/>
    <w:rsid w:val="005D4F32"/>
    <w:rsid w:val="005D511B"/>
    <w:rsid w:val="005F2830"/>
    <w:rsid w:val="00603606"/>
    <w:rsid w:val="0062202F"/>
    <w:rsid w:val="006509AF"/>
    <w:rsid w:val="006534A0"/>
    <w:rsid w:val="00662783"/>
    <w:rsid w:val="006640B9"/>
    <w:rsid w:val="00675E63"/>
    <w:rsid w:val="00677B5E"/>
    <w:rsid w:val="00686B29"/>
    <w:rsid w:val="00693BA1"/>
    <w:rsid w:val="00695DF5"/>
    <w:rsid w:val="006E5170"/>
    <w:rsid w:val="006F19F9"/>
    <w:rsid w:val="006F3C1F"/>
    <w:rsid w:val="00705A52"/>
    <w:rsid w:val="007064BE"/>
    <w:rsid w:val="007364A2"/>
    <w:rsid w:val="00756A47"/>
    <w:rsid w:val="007572FC"/>
    <w:rsid w:val="00761402"/>
    <w:rsid w:val="00764E7B"/>
    <w:rsid w:val="00765D4F"/>
    <w:rsid w:val="007752B7"/>
    <w:rsid w:val="00775CC4"/>
    <w:rsid w:val="00775E79"/>
    <w:rsid w:val="00787472"/>
    <w:rsid w:val="007905B1"/>
    <w:rsid w:val="00791686"/>
    <w:rsid w:val="0079324C"/>
    <w:rsid w:val="007A159A"/>
    <w:rsid w:val="007B5DBF"/>
    <w:rsid w:val="007D15CC"/>
    <w:rsid w:val="007D5CB0"/>
    <w:rsid w:val="007D68DF"/>
    <w:rsid w:val="007F470C"/>
    <w:rsid w:val="007F58CF"/>
    <w:rsid w:val="0080046C"/>
    <w:rsid w:val="00803415"/>
    <w:rsid w:val="00807354"/>
    <w:rsid w:val="008145EA"/>
    <w:rsid w:val="00823126"/>
    <w:rsid w:val="008251FE"/>
    <w:rsid w:val="00837072"/>
    <w:rsid w:val="00844F25"/>
    <w:rsid w:val="00852CA7"/>
    <w:rsid w:val="008738BF"/>
    <w:rsid w:val="00896B45"/>
    <w:rsid w:val="008B11F8"/>
    <w:rsid w:val="008B4A87"/>
    <w:rsid w:val="008D026D"/>
    <w:rsid w:val="008D1557"/>
    <w:rsid w:val="008D1724"/>
    <w:rsid w:val="008D4CED"/>
    <w:rsid w:val="008E367B"/>
    <w:rsid w:val="008E446E"/>
    <w:rsid w:val="008E4C70"/>
    <w:rsid w:val="0091006F"/>
    <w:rsid w:val="00933546"/>
    <w:rsid w:val="0094343E"/>
    <w:rsid w:val="00945442"/>
    <w:rsid w:val="009466D3"/>
    <w:rsid w:val="0095426B"/>
    <w:rsid w:val="0096450B"/>
    <w:rsid w:val="009727E0"/>
    <w:rsid w:val="00977D65"/>
    <w:rsid w:val="00990679"/>
    <w:rsid w:val="00993B8C"/>
    <w:rsid w:val="009B7DF5"/>
    <w:rsid w:val="009C1919"/>
    <w:rsid w:val="009C3E16"/>
    <w:rsid w:val="009D0638"/>
    <w:rsid w:val="009D2AE6"/>
    <w:rsid w:val="009D39D7"/>
    <w:rsid w:val="009D4EA5"/>
    <w:rsid w:val="00A00860"/>
    <w:rsid w:val="00A018F4"/>
    <w:rsid w:val="00A035EA"/>
    <w:rsid w:val="00A13CA2"/>
    <w:rsid w:val="00A15335"/>
    <w:rsid w:val="00A25972"/>
    <w:rsid w:val="00A31881"/>
    <w:rsid w:val="00A40798"/>
    <w:rsid w:val="00A46B00"/>
    <w:rsid w:val="00A47FD1"/>
    <w:rsid w:val="00A55E58"/>
    <w:rsid w:val="00A77DA3"/>
    <w:rsid w:val="00A91C3F"/>
    <w:rsid w:val="00A921A6"/>
    <w:rsid w:val="00AA27D2"/>
    <w:rsid w:val="00AB2175"/>
    <w:rsid w:val="00AD0394"/>
    <w:rsid w:val="00AF11BD"/>
    <w:rsid w:val="00B12607"/>
    <w:rsid w:val="00B22348"/>
    <w:rsid w:val="00B225C1"/>
    <w:rsid w:val="00B2385E"/>
    <w:rsid w:val="00B257B0"/>
    <w:rsid w:val="00B30A64"/>
    <w:rsid w:val="00B41A22"/>
    <w:rsid w:val="00B5329C"/>
    <w:rsid w:val="00B66027"/>
    <w:rsid w:val="00B71CA8"/>
    <w:rsid w:val="00B8201F"/>
    <w:rsid w:val="00B96CFE"/>
    <w:rsid w:val="00BA673B"/>
    <w:rsid w:val="00BF2C1E"/>
    <w:rsid w:val="00C01C5E"/>
    <w:rsid w:val="00C17188"/>
    <w:rsid w:val="00C2552F"/>
    <w:rsid w:val="00C5156F"/>
    <w:rsid w:val="00C54659"/>
    <w:rsid w:val="00C55A4F"/>
    <w:rsid w:val="00C7078A"/>
    <w:rsid w:val="00C73E8E"/>
    <w:rsid w:val="00C769AE"/>
    <w:rsid w:val="00C77140"/>
    <w:rsid w:val="00C96D00"/>
    <w:rsid w:val="00C9723F"/>
    <w:rsid w:val="00CB3709"/>
    <w:rsid w:val="00CE4278"/>
    <w:rsid w:val="00D03394"/>
    <w:rsid w:val="00D07C69"/>
    <w:rsid w:val="00D1503F"/>
    <w:rsid w:val="00D451DC"/>
    <w:rsid w:val="00D55993"/>
    <w:rsid w:val="00D6569C"/>
    <w:rsid w:val="00D66D2F"/>
    <w:rsid w:val="00D706B4"/>
    <w:rsid w:val="00D74D7F"/>
    <w:rsid w:val="00D86121"/>
    <w:rsid w:val="00DD533F"/>
    <w:rsid w:val="00DD7782"/>
    <w:rsid w:val="00DE3881"/>
    <w:rsid w:val="00DF089A"/>
    <w:rsid w:val="00E0463C"/>
    <w:rsid w:val="00E11542"/>
    <w:rsid w:val="00E263B1"/>
    <w:rsid w:val="00E51867"/>
    <w:rsid w:val="00E5569A"/>
    <w:rsid w:val="00E56247"/>
    <w:rsid w:val="00E653D5"/>
    <w:rsid w:val="00E97AE2"/>
    <w:rsid w:val="00EB3FB6"/>
    <w:rsid w:val="00ED04FC"/>
    <w:rsid w:val="00EE5DDA"/>
    <w:rsid w:val="00F00409"/>
    <w:rsid w:val="00F322D0"/>
    <w:rsid w:val="00F32C47"/>
    <w:rsid w:val="00F4058C"/>
    <w:rsid w:val="00F53DDA"/>
    <w:rsid w:val="00F563CB"/>
    <w:rsid w:val="00F65A32"/>
    <w:rsid w:val="00F7063A"/>
    <w:rsid w:val="00F8492D"/>
    <w:rsid w:val="00FA1E83"/>
    <w:rsid w:val="00FA4259"/>
    <w:rsid w:val="00FD2F15"/>
    <w:rsid w:val="00FE4318"/>
    <w:rsid w:val="00FF1816"/>
    <w:rsid w:val="00FF4271"/>
    <w:rsid w:val="00FF6EA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7ADDA02"/>
  <w15:docId w15:val="{ABCF7821-1925-41AD-AA05-C65E5C05C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qFormat="1"/>
    <w:lsdException w:name="heading 8" w:semiHidden="1" w:uiPriority="0" w:unhideWhenUsed="1"/>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4"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uiPriority w:val="2"/>
    <w:qFormat/>
    <w:rsid w:val="001169CA"/>
    <w:pPr>
      <w:numPr>
        <w:numId w:val="3"/>
      </w:numPr>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rsid w:val="008D1724"/>
    <w:pPr>
      <w:ind w:firstLine="720"/>
    </w:pPr>
    <w:rPr>
      <w:sz w:val="20"/>
      <w:szCs w:val="20"/>
    </w:rPr>
  </w:style>
  <w:style w:type="character" w:customStyle="1" w:styleId="FootnoteTextChar">
    <w:name w:val="Footnote Text Char"/>
    <w:basedOn w:val="DefaultParagraphFont"/>
    <w:link w:val="FootnoteText"/>
    <w:rsid w:val="008D1724"/>
    <w:rPr>
      <w:sz w:val="20"/>
      <w:szCs w:val="20"/>
    </w:rPr>
  </w:style>
  <w:style w:type="character" w:styleId="FootnoteReference">
    <w:name w:val="footnote reference"/>
    <w:basedOn w:val="DefaultParagraphFont"/>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character" w:styleId="CommentReference">
    <w:name w:val="annotation reference"/>
    <w:basedOn w:val="DefaultParagraphFont"/>
    <w:uiPriority w:val="99"/>
    <w:semiHidden/>
    <w:unhideWhenUsed/>
    <w:rsid w:val="00521DC2"/>
    <w:rPr>
      <w:sz w:val="16"/>
      <w:szCs w:val="16"/>
    </w:rPr>
  </w:style>
  <w:style w:type="paragraph" w:styleId="CommentText">
    <w:name w:val="annotation text"/>
    <w:basedOn w:val="Normal"/>
    <w:link w:val="CommentTextChar"/>
    <w:uiPriority w:val="99"/>
    <w:semiHidden/>
    <w:unhideWhenUsed/>
    <w:rsid w:val="00521DC2"/>
    <w:rPr>
      <w:sz w:val="20"/>
      <w:szCs w:val="20"/>
    </w:rPr>
  </w:style>
  <w:style w:type="character" w:customStyle="1" w:styleId="CommentTextChar">
    <w:name w:val="Comment Text Char"/>
    <w:basedOn w:val="DefaultParagraphFont"/>
    <w:link w:val="CommentText"/>
    <w:uiPriority w:val="99"/>
    <w:semiHidden/>
    <w:rsid w:val="00521DC2"/>
    <w:rPr>
      <w:sz w:val="20"/>
      <w:szCs w:val="20"/>
    </w:rPr>
  </w:style>
  <w:style w:type="paragraph" w:styleId="CommentSubject">
    <w:name w:val="annotation subject"/>
    <w:basedOn w:val="CommentText"/>
    <w:next w:val="CommentText"/>
    <w:link w:val="CommentSubjectChar"/>
    <w:uiPriority w:val="99"/>
    <w:semiHidden/>
    <w:unhideWhenUsed/>
    <w:rsid w:val="00521DC2"/>
    <w:rPr>
      <w:b/>
      <w:bCs/>
    </w:rPr>
  </w:style>
  <w:style w:type="character" w:customStyle="1" w:styleId="CommentSubjectChar">
    <w:name w:val="Comment Subject Char"/>
    <w:basedOn w:val="CommentTextChar"/>
    <w:link w:val="CommentSubject"/>
    <w:uiPriority w:val="99"/>
    <w:semiHidden/>
    <w:rsid w:val="00521DC2"/>
    <w:rPr>
      <w:b/>
      <w:bCs/>
      <w:sz w:val="20"/>
      <w:szCs w:val="20"/>
    </w:rPr>
  </w:style>
  <w:style w:type="paragraph" w:styleId="ListParagraph">
    <w:name w:val="List Paragraph"/>
    <w:basedOn w:val="Normal"/>
    <w:next w:val="BodyText"/>
    <w:qFormat/>
    <w:rsid w:val="006509AF"/>
    <w:pPr>
      <w:numPr>
        <w:numId w:val="8"/>
      </w:numPr>
      <w:tabs>
        <w:tab w:val="num" w:pos="720"/>
      </w:tabs>
      <w:spacing w:line="360" w:lineRule="auto"/>
      <w:ind w:left="720" w:hanging="720"/>
      <w:jc w:val="both"/>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B4A2E7-C056-4723-8196-9BAB6EC438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16</Pages>
  <Words>4047</Words>
  <Characters>23068</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Rizvi, Wajiha</dc:creator>
  <cp:keywords/>
  <dc:description/>
  <cp:lastModifiedBy>Torres, Rebecca</cp:lastModifiedBy>
  <cp:revision>6</cp:revision>
  <cp:lastPrinted>2019-08-14T14:03:00Z</cp:lastPrinted>
  <dcterms:created xsi:type="dcterms:W3CDTF">2019-08-04T21:56:00Z</dcterms:created>
  <dcterms:modified xsi:type="dcterms:W3CDTF">2019-08-14T14:09:00Z</dcterms:modified>
  <cp:contentStatus/>
</cp:coreProperties>
</file>